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keepNext w:val="0"/>
        <w:keepLines w:val="0"/>
        <w:pageBreakBefore w:val="0"/>
        <w:widowControl w:val="0"/>
        <w:kinsoku/>
        <w:wordWrap/>
        <w:overflowPunct/>
        <w:topLinePunct w:val="0"/>
        <w:autoSpaceDE/>
        <w:autoSpaceDN/>
        <w:bidi w:val="0"/>
        <w:adjustRightInd/>
        <w:snapToGrid/>
        <w:spacing w:line="560" w:lineRule="exact"/>
        <w:jc w:val="center"/>
        <w:textAlignment w:val="auto"/>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t>关于发布新疆维吾尔自治区202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年度“揭榜挂帅”科技项目榜单的通知</w:t>
      </w: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p>
    <w:p>
      <w:pPr>
        <w:keepNext w:val="0"/>
        <w:keepLines w:val="0"/>
        <w:pageBreakBefore w:val="0"/>
        <w:widowControl w:val="0"/>
        <w:kinsoku/>
        <w:wordWrap/>
        <w:overflowPunct/>
        <w:topLinePunct w:val="0"/>
        <w:autoSpaceDE/>
        <w:autoSpaceDN/>
        <w:bidi w:val="0"/>
        <w:adjustRightInd/>
        <w:snapToGrid/>
        <w:spacing w:line="56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各有关单位：</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为深入贯彻落实习近平总书记关于“揭榜挂帅”的重要指示，按照自治区党委《关于制定国民经济和社会发展第十四个五年规划和</w:t>
      </w:r>
      <w:r>
        <w:rPr>
          <w:rFonts w:hint="eastAsia" w:ascii="方正仿宋_GBK" w:hAnsi="方正仿宋_GBK" w:eastAsia="方正仿宋_GBK" w:cs="方正仿宋_GBK"/>
          <w:b w:val="0"/>
          <w:bCs w:val="0"/>
          <w:sz w:val="32"/>
          <w:szCs w:val="32"/>
        </w:rPr>
        <w:t>二</w:t>
      </w:r>
      <w:r>
        <w:rPr>
          <w:rFonts w:hint="eastAsia" w:ascii="方正仿宋_GBK" w:hAnsi="方正仿宋_GBK" w:eastAsia="方正仿宋_GBK" w:cs="方正仿宋_GBK"/>
          <w:b w:val="0"/>
          <w:bCs w:val="0"/>
          <w:sz w:val="32"/>
          <w:szCs w:val="32"/>
          <w:lang w:val="en-US" w:eastAsia="zh-CN"/>
        </w:rPr>
        <w:t>0</w:t>
      </w:r>
      <w:r>
        <w:rPr>
          <w:rFonts w:hint="eastAsia" w:ascii="方正仿宋_GBK" w:hAnsi="方正仿宋_GBK" w:eastAsia="方正仿宋_GBK" w:cs="方正仿宋_GBK"/>
          <w:sz w:val="32"/>
          <w:szCs w:val="32"/>
        </w:rPr>
        <w:t>三五年远景目标的建议》中关于探索实施“揭榜挂帅”的要求，自治区党委组织部和自治区科技厅</w:t>
      </w:r>
      <w:r>
        <w:rPr>
          <w:rFonts w:hint="eastAsia" w:ascii="方正仿宋_GBK" w:hAnsi="方正仿宋_GBK" w:eastAsia="方正仿宋_GBK" w:cs="方正仿宋_GBK"/>
          <w:sz w:val="32"/>
          <w:szCs w:val="32"/>
          <w:lang w:eastAsia="zh-CN"/>
        </w:rPr>
        <w:t>聚焦</w:t>
      </w:r>
      <w:r>
        <w:rPr>
          <w:rFonts w:hint="eastAsia" w:ascii="方正仿宋_GBK" w:hAnsi="方正仿宋_GBK" w:eastAsia="方正仿宋_GBK" w:cs="方正仿宋_GBK"/>
          <w:sz w:val="32"/>
          <w:szCs w:val="32"/>
        </w:rPr>
        <w:t>自治区</w:t>
      </w:r>
      <w:r>
        <w:rPr>
          <w:rFonts w:hint="eastAsia" w:ascii="方正仿宋_GBK" w:hAnsi="方正仿宋_GBK" w:eastAsia="方正仿宋_GBK" w:cs="方正仿宋_GBK"/>
          <w:color w:val="auto"/>
          <w:sz w:val="32"/>
          <w:szCs w:val="32"/>
          <w:highlight w:val="none"/>
          <w:lang w:val="en-US" w:eastAsia="zh-CN"/>
        </w:rPr>
        <w:t>“八大产业集群”</w:t>
      </w:r>
      <w:r>
        <w:rPr>
          <w:rFonts w:hint="eastAsia" w:ascii="方正仿宋_GBK" w:hAnsi="方正仿宋_GBK" w:eastAsia="方正仿宋_GBK" w:cs="方正仿宋_GBK"/>
          <w:sz w:val="32"/>
          <w:szCs w:val="32"/>
          <w:lang w:eastAsia="zh-CN"/>
        </w:rPr>
        <w:t>等重大战略部署</w:t>
      </w:r>
      <w:r>
        <w:rPr>
          <w:rFonts w:hint="eastAsia" w:ascii="方正仿宋_GBK" w:hAnsi="方正仿宋_GBK" w:eastAsia="方正仿宋_GBK" w:cs="方正仿宋_GBK"/>
          <w:sz w:val="32"/>
          <w:szCs w:val="32"/>
        </w:rPr>
        <w:t>，面向社会征集了202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年度“揭榜挂帅”科技项目需求，择优形成202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年度“揭榜挂帅”科技项目榜单，现将榜单揭榜的相关要求通知如下。 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一、榜单内容</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本批榜单包括“大平面薄层混凝土机械化施工成套设备及工法”“基于络合吸附法联合精馏提纯技术去除多晶硅中痕量杂质的研究”“用于锂电池的超纯高结构导电剂生产研发”“农田残膜高质高效机械化回收技术研发与装备应用”“同位素标记法探索罗布泊矿区卤水流场研究”</w:t>
      </w:r>
      <w:r>
        <w:rPr>
          <w:rFonts w:hint="eastAsia" w:ascii="方正仿宋_GBK" w:hAnsi="方正仿宋_GBK" w:eastAsia="方正仿宋_GBK" w:cs="方正仿宋_GBK"/>
          <w:sz w:val="32"/>
          <w:szCs w:val="32"/>
          <w:lang w:eastAsia="zh-CN"/>
        </w:rPr>
        <w:t>等</w:t>
      </w:r>
      <w:r>
        <w:rPr>
          <w:rFonts w:hint="eastAsia" w:ascii="方正仿宋_GBK" w:hAnsi="方正仿宋_GBK" w:eastAsia="方正仿宋_GBK" w:cs="方正仿宋_GBK"/>
          <w:sz w:val="32"/>
          <w:szCs w:val="32"/>
          <w:lang w:val="en-US" w:eastAsia="zh-CN"/>
        </w:rPr>
        <w:t>17</w:t>
      </w:r>
      <w:r>
        <w:rPr>
          <w:rFonts w:hint="eastAsia" w:ascii="方正仿宋_GBK" w:hAnsi="方正仿宋_GBK" w:eastAsia="方正仿宋_GBK" w:cs="方正仿宋_GBK"/>
          <w:sz w:val="32"/>
          <w:szCs w:val="32"/>
        </w:rPr>
        <w:t>个方面</w:t>
      </w:r>
      <w:r>
        <w:rPr>
          <w:rFonts w:hint="eastAsia" w:ascii="方正仿宋_GBK" w:hAnsi="方正仿宋_GBK" w:eastAsia="方正仿宋_GBK" w:cs="方正仿宋_GBK"/>
          <w:sz w:val="32"/>
          <w:szCs w:val="32"/>
          <w:lang w:eastAsia="zh-CN"/>
        </w:rPr>
        <w:t>（详</w:t>
      </w:r>
      <w:r>
        <w:rPr>
          <w:rFonts w:hint="eastAsia" w:ascii="方正仿宋_GBK" w:hAnsi="方正仿宋_GBK" w:eastAsia="方正仿宋_GBK" w:cs="方正仿宋_GBK"/>
          <w:sz w:val="32"/>
          <w:szCs w:val="32"/>
        </w:rPr>
        <w:t>见附件1</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。通过公开征集揭榜方，解决上述制约我区重点产业发展的关键核心</w:t>
      </w:r>
      <w:r>
        <w:rPr>
          <w:rFonts w:hint="eastAsia" w:ascii="方正仿宋_GBK" w:hAnsi="方正仿宋_GBK" w:eastAsia="方正仿宋_GBK" w:cs="方正仿宋_GBK"/>
          <w:sz w:val="32"/>
          <w:szCs w:val="32"/>
          <w:lang w:eastAsia="zh-CN"/>
        </w:rPr>
        <w:t>技术</w:t>
      </w:r>
      <w:r>
        <w:rPr>
          <w:rFonts w:hint="eastAsia" w:ascii="方正仿宋_GBK" w:hAnsi="方正仿宋_GBK" w:eastAsia="方正仿宋_GBK" w:cs="方正仿宋_GBK"/>
          <w:sz w:val="32"/>
          <w:szCs w:val="32"/>
        </w:rPr>
        <w:t>问题。</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二、揭榜要求</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1.揭榜方应为有能力解决榜单任务的</w:t>
      </w:r>
      <w:r>
        <w:rPr>
          <w:rFonts w:hint="eastAsia" w:ascii="方正仿宋_GBK" w:hAnsi="方正仿宋_GBK" w:eastAsia="方正仿宋_GBK" w:cs="方正仿宋_GBK"/>
          <w:sz w:val="32"/>
          <w:szCs w:val="32"/>
          <w:lang w:eastAsia="zh-CN"/>
        </w:rPr>
        <w:t>全国</w:t>
      </w:r>
      <w:r>
        <w:rPr>
          <w:rFonts w:hint="eastAsia" w:ascii="方正仿宋_GBK" w:hAnsi="方正仿宋_GBK" w:eastAsia="方正仿宋_GBK" w:cs="方正仿宋_GBK"/>
          <w:sz w:val="32"/>
          <w:szCs w:val="32"/>
        </w:rPr>
        <w:t>高校、科研院所、企业等独立法人实体或独立法人联合体。鼓励产学研合作，组团揭榜攻关。</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2.揭榜方应具备良好的科研道德和社会诚信，近三年内无不良信用记录或违法行为，对所提交材料真实性</w:t>
      </w:r>
      <w:r>
        <w:rPr>
          <w:rFonts w:hint="eastAsia" w:ascii="方正仿宋_GBK" w:hAnsi="方正仿宋_GBK" w:eastAsia="方正仿宋_GBK" w:cs="方正仿宋_GBK"/>
          <w:sz w:val="32"/>
          <w:szCs w:val="32"/>
          <w:lang w:eastAsia="zh-CN"/>
        </w:rPr>
        <w:t>做出</w:t>
      </w:r>
      <w:r>
        <w:rPr>
          <w:rFonts w:hint="eastAsia" w:ascii="方正仿宋_GBK" w:hAnsi="方正仿宋_GBK" w:eastAsia="方正仿宋_GBK" w:cs="方正仿宋_GBK"/>
          <w:sz w:val="32"/>
          <w:szCs w:val="32"/>
        </w:rPr>
        <w:t>承诺。</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3.揭榜方具备满足项目实施相应水平和规模的科研队伍，在揭榜的项目领域具有较强的技术储备，掌握项目领域相关核心自主知识产权。</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4.揭榜方提出的技术方案可行性高、经济性好，能协助发榜方完成技术</w:t>
      </w:r>
      <w:r>
        <w:rPr>
          <w:rFonts w:hint="eastAsia" w:ascii="方正仿宋_GBK" w:hAnsi="方正仿宋_GBK" w:eastAsia="方正仿宋_GBK" w:cs="方正仿宋_GBK"/>
          <w:sz w:val="32"/>
          <w:szCs w:val="32"/>
          <w:lang w:eastAsia="zh-CN"/>
        </w:rPr>
        <w:t>成果</w:t>
      </w:r>
      <w:r>
        <w:rPr>
          <w:rFonts w:hint="eastAsia" w:ascii="方正仿宋_GBK" w:hAnsi="方正仿宋_GBK" w:eastAsia="方正仿宋_GBK" w:cs="方正仿宋_GBK"/>
          <w:sz w:val="32"/>
          <w:szCs w:val="32"/>
        </w:rPr>
        <w:t>应用实施，帮带培养一批新疆本土创新人才和科研团队。</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5.发榜单位或其母公司、子公司以及其它股权关联体等关联方不得揭榜。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6.符合榜单要求的其他条件。</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三、揭榜流程</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1.对接榜单。有意向揭榜的单位在榜单发布之日起，可与发榜方项目专员（</w:t>
      </w:r>
      <w:r>
        <w:rPr>
          <w:rFonts w:hint="eastAsia" w:ascii="方正仿宋_GBK" w:hAnsi="方正仿宋_GBK" w:eastAsia="方正仿宋_GBK" w:cs="方正仿宋_GBK"/>
          <w:sz w:val="32"/>
          <w:szCs w:val="32"/>
          <w:lang w:eastAsia="zh-CN"/>
        </w:rPr>
        <w:t>见</w:t>
      </w:r>
      <w:r>
        <w:rPr>
          <w:rFonts w:hint="eastAsia" w:ascii="方正仿宋_GBK" w:hAnsi="方正仿宋_GBK" w:eastAsia="方正仿宋_GBK" w:cs="方正仿宋_GBK"/>
          <w:sz w:val="32"/>
          <w:szCs w:val="32"/>
        </w:rPr>
        <w:t>附件1）对接了解榜单细节内容，结合榜单具体需求及自身能力进行揭榜。</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2.书面申报。意向揭榜单位按要求填写“揭榜挂帅”项目申报书</w:t>
      </w: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rPr>
        <w:t>，提交相关附件材料。所有书面材料采用A3纸骑马装订，一式五份，签字盖章须齐全。</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3.材料提交。</w:t>
      </w:r>
      <w:r>
        <w:rPr>
          <w:rFonts w:hint="eastAsia" w:ascii="方正仿宋_GBK" w:hAnsi="方正仿宋_GBK" w:eastAsia="方正仿宋_GBK" w:cs="方正仿宋_GBK"/>
          <w:sz w:val="32"/>
          <w:szCs w:val="32"/>
          <w:lang w:eastAsia="zh-CN"/>
        </w:rPr>
        <w:t>揭榜</w:t>
      </w:r>
      <w:r>
        <w:rPr>
          <w:rFonts w:hint="eastAsia" w:ascii="方正仿宋_GBK" w:hAnsi="方正仿宋_GBK" w:eastAsia="方正仿宋_GBK" w:cs="方正仿宋_GBK"/>
          <w:sz w:val="32"/>
          <w:szCs w:val="32"/>
        </w:rPr>
        <w:t>时间为202</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年</w:t>
      </w: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29</w:t>
      </w:r>
      <w:r>
        <w:rPr>
          <w:rFonts w:hint="eastAsia" w:ascii="方正仿宋_GBK" w:hAnsi="方正仿宋_GBK" w:eastAsia="方正仿宋_GBK" w:cs="方正仿宋_GBK"/>
          <w:sz w:val="32"/>
          <w:szCs w:val="32"/>
        </w:rPr>
        <w:t>日至</w:t>
      </w: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月</w:t>
      </w:r>
      <w:r>
        <w:rPr>
          <w:rFonts w:hint="eastAsia" w:ascii="方正仿宋_GBK" w:hAnsi="方正仿宋_GBK" w:eastAsia="方正仿宋_GBK" w:cs="方正仿宋_GBK"/>
          <w:sz w:val="32"/>
          <w:szCs w:val="32"/>
          <w:lang w:val="en-US" w:eastAsia="zh-CN"/>
        </w:rPr>
        <w:t>2日，纸质材料和电子材料（光盘）交至自治区科技项目服务中心，地址：乌鲁木齐市北京南路科学一街328号，邮编：830011，收件人：田竞。</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黑体" w:hAnsi="黑体" w:eastAsia="黑体" w:cs="黑体"/>
          <w:sz w:val="32"/>
          <w:szCs w:val="32"/>
          <w:lang w:val="en-US" w:eastAsia="zh-CN"/>
        </w:rPr>
      </w:pPr>
      <w:r>
        <w:rPr>
          <w:rFonts w:hint="eastAsia" w:ascii="黑体" w:hAnsi="黑体" w:eastAsia="黑体" w:cs="黑体"/>
          <w:sz w:val="32"/>
          <w:szCs w:val="32"/>
          <w:lang w:val="en-US" w:eastAsia="zh-CN"/>
        </w:rPr>
        <w:t>四、联系方式</w:t>
      </w:r>
    </w:p>
    <w:p>
      <w:pPr>
        <w:keepNext w:val="0"/>
        <w:keepLines w:val="0"/>
        <w:pageBreakBefore w:val="0"/>
        <w:widowControl w:val="0"/>
        <w:kinsoku/>
        <w:wordWrap/>
        <w:overflowPunct/>
        <w:topLinePunct w:val="0"/>
        <w:autoSpaceDE/>
        <w:autoSpaceDN/>
        <w:bidi w:val="0"/>
        <w:adjustRightInd/>
        <w:snapToGrid/>
        <w:spacing w:line="560" w:lineRule="exact"/>
        <w:ind w:left="1278" w:leftChars="304" w:hanging="640" w:hangingChars="200"/>
        <w:jc w:val="both"/>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资源配置与管理处</w:t>
      </w:r>
      <w:r>
        <w:rPr>
          <w:rFonts w:hint="eastAsia" w:ascii="方正仿宋_GBK" w:hAnsi="方正仿宋_GBK" w:eastAsia="方正仿宋_GBK" w:cs="方正仿宋_GBK"/>
          <w:sz w:val="32"/>
          <w:szCs w:val="32"/>
          <w:lang w:val="en-US" w:eastAsia="zh-CN"/>
        </w:rPr>
        <w:t xml:space="preserve">        陈龙忠</w:t>
      </w:r>
      <w:r>
        <w:rPr>
          <w:rFonts w:hint="eastAsia" w:ascii="方正仿宋_GBK" w:hAnsi="方正仿宋_GBK" w:eastAsia="方正仿宋_GBK" w:cs="方正仿宋_GBK"/>
          <w:sz w:val="32"/>
          <w:szCs w:val="32"/>
        </w:rPr>
        <w:t>0991-3836149</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高新技术处    </w:t>
      </w:r>
      <w:r>
        <w:rPr>
          <w:rFonts w:hint="eastAsia" w:ascii="方正仿宋_GBK" w:hAnsi="方正仿宋_GBK" w:eastAsia="方正仿宋_GBK" w:cs="方正仿宋_GBK"/>
          <w:sz w:val="32"/>
          <w:szCs w:val="32"/>
          <w:lang w:val="en-US" w:eastAsia="zh-CN"/>
        </w:rPr>
        <w:t xml:space="preserve">          魏迪雅</w:t>
      </w:r>
      <w:r>
        <w:rPr>
          <w:rFonts w:hint="eastAsia" w:ascii="方正仿宋_GBK" w:hAnsi="方正仿宋_GBK" w:eastAsia="方正仿宋_GBK" w:cs="方正仿宋_GBK"/>
          <w:sz w:val="32"/>
          <w:szCs w:val="32"/>
        </w:rPr>
        <w:t>0991-</w:t>
      </w:r>
      <w:r>
        <w:rPr>
          <w:rFonts w:hint="eastAsia" w:ascii="方正仿宋_GBK" w:hAnsi="方正仿宋_GBK" w:eastAsia="方正仿宋_GBK" w:cs="方正仿宋_GBK"/>
          <w:sz w:val="32"/>
          <w:szCs w:val="32"/>
          <w:lang w:val="en-US" w:eastAsia="zh-CN"/>
        </w:rPr>
        <w:t>3836818</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rPr>
        <w:t>农村科技处      </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lang w:eastAsia="zh-CN"/>
        </w:rPr>
        <w:t>吴林蔚</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0991-3828</w:t>
      </w:r>
      <w:r>
        <w:rPr>
          <w:rFonts w:hint="eastAsia" w:ascii="方正仿宋_GBK" w:hAnsi="方正仿宋_GBK" w:eastAsia="方正仿宋_GBK" w:cs="方正仿宋_GBK"/>
          <w:sz w:val="32"/>
          <w:szCs w:val="32"/>
          <w:lang w:val="en-US" w:eastAsia="zh-CN"/>
        </w:rPr>
        <w:t>086</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both"/>
        <w:textAlignment w:val="auto"/>
        <w:rPr>
          <w:rFonts w:hint="default"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社会发展与基础研究处    杨晓平0991-3813713</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lef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eastAsia="zh-CN"/>
        </w:rPr>
        <w:t>自治区</w:t>
      </w:r>
      <w:r>
        <w:rPr>
          <w:rFonts w:hint="eastAsia" w:ascii="方正仿宋_GBK" w:hAnsi="方正仿宋_GBK" w:eastAsia="方正仿宋_GBK" w:cs="方正仿宋_GBK"/>
          <w:sz w:val="32"/>
          <w:szCs w:val="32"/>
        </w:rPr>
        <w:t>科技项目服务中心</w:t>
      </w:r>
      <w:r>
        <w:rPr>
          <w:rFonts w:hint="eastAsia" w:ascii="方正仿宋_GBK" w:hAnsi="方正仿宋_GBK" w:eastAsia="方正仿宋_GBK" w:cs="方正仿宋_GBK"/>
          <w:sz w:val="32"/>
          <w:szCs w:val="32"/>
          <w:lang w:val="en-US" w:eastAsia="zh-CN"/>
        </w:rPr>
        <w:t xml:space="preserve"> </w:t>
      </w:r>
      <w:r>
        <w:rPr>
          <w:rFonts w:hint="eastAsia" w:ascii="方正仿宋_GBK" w:hAnsi="方正仿宋_GBK" w:eastAsia="方正仿宋_GBK" w:cs="方正仿宋_GBK"/>
          <w:sz w:val="32"/>
          <w:szCs w:val="32"/>
        </w:rPr>
        <w:t> 田竞</w:t>
      </w:r>
      <w:r>
        <w:rPr>
          <w:rFonts w:hint="eastAsia" w:ascii="方正仿宋_GBK" w:hAnsi="方正仿宋_GBK" w:eastAsia="方正仿宋_GBK" w:cs="方正仿宋_GBK"/>
          <w:sz w:val="32"/>
          <w:szCs w:val="32"/>
          <w:lang w:val="en-US" w:eastAsia="zh-CN"/>
        </w:rPr>
        <w:t xml:space="preserve">  0991-3837681</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jc w:val="center"/>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 </w:t>
      </w:r>
    </w:p>
    <w:p>
      <w:pPr>
        <w:keepNext w:val="0"/>
        <w:keepLines w:val="0"/>
        <w:pageBreakBefore w:val="0"/>
        <w:widowControl w:val="0"/>
        <w:kinsoku/>
        <w:wordWrap/>
        <w:overflowPunct/>
        <w:topLinePunct w:val="0"/>
        <w:autoSpaceDE/>
        <w:autoSpaceDN/>
        <w:bidi w:val="0"/>
        <w:adjustRightInd/>
        <w:snapToGrid/>
        <w:spacing w:line="560" w:lineRule="exact"/>
        <w:ind w:left="1918" w:leftChars="304" w:hanging="1280" w:hangingChars="4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附件：1.</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"http://kjt.xinjiang.gov.cn/kjt/c100276/202112/632ab43130204f5898540a9bb5eeed98/files/新疆维吾尔自治区2021年度“揭榜挂帅”科技项目榜单.docx" \t "http://kjt.xinjiang.gov.cn/kjt/c100276/202112/_blank"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新疆维吾尔自治区202</w:t>
      </w: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年度“揭榜挂帅”科技项目榜单</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1600" w:firstLineChars="5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2.</w:t>
      </w:r>
      <w:r>
        <w:rPr>
          <w:rFonts w:hint="eastAsia" w:ascii="方正仿宋_GBK" w:hAnsi="方正仿宋_GBK" w:eastAsia="方正仿宋_GBK" w:cs="方正仿宋_GBK"/>
          <w:sz w:val="32"/>
          <w:szCs w:val="32"/>
        </w:rPr>
        <w:fldChar w:fldCharType="begin"/>
      </w:r>
      <w:r>
        <w:rPr>
          <w:rFonts w:hint="eastAsia" w:ascii="方正仿宋_GBK" w:hAnsi="方正仿宋_GBK" w:eastAsia="方正仿宋_GBK" w:cs="方正仿宋_GBK"/>
          <w:sz w:val="32"/>
          <w:szCs w:val="32"/>
        </w:rPr>
        <w:instrText xml:space="preserve"> HYPERLINK "http://kjt.xinjiang.gov.cn/kjt/c100276/202112/632ab43130204f5898540a9bb5eeed98/files/附件2.揭榜挂帅项目申报书.doc" \t "http://kjt.xinjiang.gov.cn/kjt/c100276/202112/_blank" </w:instrText>
      </w:r>
      <w:r>
        <w:rPr>
          <w:rFonts w:hint="eastAsia" w:ascii="方正仿宋_GBK" w:hAnsi="方正仿宋_GBK" w:eastAsia="方正仿宋_GBK" w:cs="方正仿宋_GBK"/>
          <w:sz w:val="32"/>
          <w:szCs w:val="32"/>
        </w:rPr>
        <w:fldChar w:fldCharType="separate"/>
      </w:r>
      <w:r>
        <w:rPr>
          <w:rFonts w:hint="eastAsia" w:ascii="方正仿宋_GBK" w:hAnsi="方正仿宋_GBK" w:eastAsia="方正仿宋_GBK" w:cs="方正仿宋_GBK"/>
          <w:sz w:val="32"/>
          <w:szCs w:val="32"/>
        </w:rPr>
        <w:t>揭榜挂帅项目申报书</w:t>
      </w:r>
      <w:r>
        <w:rPr>
          <w:rFonts w:hint="eastAsia" w:ascii="方正仿宋_GBK" w:hAnsi="方正仿宋_GBK" w:eastAsia="方正仿宋_GBK" w:cs="方正仿宋_GBK"/>
          <w:sz w:val="32"/>
          <w:szCs w:val="32"/>
        </w:rPr>
        <w:fldChar w:fldCharType="end"/>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 </w:t>
      </w:r>
    </w:p>
    <w:p>
      <w:pPr>
        <w:keepNext w:val="0"/>
        <w:keepLines w:val="0"/>
        <w:pageBreakBefore w:val="0"/>
        <w:widowControl w:val="0"/>
        <w:kinsoku/>
        <w:wordWrap/>
        <w:overflowPunct/>
        <w:topLinePunct w:val="0"/>
        <w:autoSpaceDE/>
        <w:autoSpaceDN/>
        <w:bidi w:val="0"/>
        <w:adjustRightInd/>
        <w:snapToGrid/>
        <w:spacing w:line="560" w:lineRule="exact"/>
        <w:ind w:firstLine="640" w:firstLineChars="2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自治区科技厅</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2023年1月29日</w:t>
      </w: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pStyle w:val="2"/>
        <w:rPr>
          <w:rFonts w:hint="eastAsia"/>
          <w:lang w:val="en-US" w:eastAsia="zh-CN"/>
        </w:rPr>
      </w:pPr>
      <w:bookmarkStart w:id="4" w:name="_GoBack"/>
      <w:bookmarkEnd w:id="4"/>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仿宋_GBK" w:hAnsi="方正仿宋_GBK" w:eastAsia="方正仿宋_GBK" w:cs="方正仿宋_GBK"/>
          <w:b w:val="0"/>
          <w:bCs w:val="0"/>
          <w:sz w:val="32"/>
          <w:szCs w:val="32"/>
          <w:lang w:val="en-US" w:eastAsia="zh-CN"/>
        </w:rPr>
      </w:pPr>
      <w:r>
        <w:rPr>
          <w:rFonts w:hint="eastAsia" w:ascii="方正仿宋_GBK" w:hAnsi="方正仿宋_GBK" w:eastAsia="方正仿宋_GBK" w:cs="方正仿宋_GBK"/>
          <w:b w:val="0"/>
          <w:bCs w:val="0"/>
          <w:sz w:val="32"/>
          <w:szCs w:val="32"/>
          <w:lang w:val="en-US" w:eastAsia="zh-CN"/>
        </w:rPr>
        <w:t>附件1</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仿宋_GBK" w:hAnsi="方正仿宋_GBK" w:eastAsia="方正仿宋_GBK" w:cs="方正仿宋_GBK"/>
          <w:b w:val="0"/>
          <w:bCs w:val="0"/>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sz w:val="44"/>
          <w:szCs w:val="44"/>
        </w:rPr>
      </w:pPr>
      <w:r>
        <w:rPr>
          <w:rFonts w:hint="eastAsia" w:ascii="方正小标宋_GBK" w:hAnsi="方正小标宋_GBK" w:eastAsia="方正小标宋_GBK" w:cs="方正小标宋_GBK"/>
          <w:sz w:val="44"/>
          <w:szCs w:val="44"/>
        </w:rPr>
        <w:fldChar w:fldCharType="begin"/>
      </w:r>
      <w:r>
        <w:rPr>
          <w:rFonts w:hint="eastAsia" w:ascii="方正小标宋_GBK" w:hAnsi="方正小标宋_GBK" w:eastAsia="方正小标宋_GBK" w:cs="方正小标宋_GBK"/>
          <w:sz w:val="44"/>
          <w:szCs w:val="44"/>
        </w:rPr>
        <w:instrText xml:space="preserve"> HYPERLINK "http://kjt.xinjiang.gov.cn/kjt/c100276/202112/632ab43130204f5898540a9bb5eeed98/files/新疆维吾尔自治区2021年度“揭榜挂帅”科技项目榜单.docx" \t "http://kjt.xinjiang.gov.cn/kjt/c100276/202112/_blank" </w:instrText>
      </w:r>
      <w:r>
        <w:rPr>
          <w:rFonts w:hint="eastAsia" w:ascii="方正小标宋_GBK" w:hAnsi="方正小标宋_GBK" w:eastAsia="方正小标宋_GBK" w:cs="方正小标宋_GBK"/>
          <w:sz w:val="44"/>
          <w:szCs w:val="44"/>
        </w:rPr>
        <w:fldChar w:fldCharType="separate"/>
      </w:r>
      <w:r>
        <w:rPr>
          <w:rFonts w:hint="eastAsia" w:ascii="方正小标宋_GBK" w:hAnsi="方正小标宋_GBK" w:eastAsia="方正小标宋_GBK" w:cs="方正小标宋_GBK"/>
          <w:sz w:val="44"/>
          <w:szCs w:val="44"/>
        </w:rPr>
        <w:t>新疆维吾尔自治区202</w:t>
      </w:r>
      <w:r>
        <w:rPr>
          <w:rFonts w:hint="eastAsia" w:ascii="方正小标宋_GBK" w:hAnsi="方正小标宋_GBK" w:eastAsia="方正小标宋_GBK" w:cs="方正小标宋_GBK"/>
          <w:sz w:val="44"/>
          <w:szCs w:val="44"/>
          <w:lang w:val="en-US" w:eastAsia="zh-CN"/>
        </w:rPr>
        <w:t>2</w:t>
      </w:r>
      <w:r>
        <w:rPr>
          <w:rFonts w:hint="eastAsia" w:ascii="方正小标宋_GBK" w:hAnsi="方正小标宋_GBK" w:eastAsia="方正小标宋_GBK" w:cs="方正小标宋_GBK"/>
          <w:sz w:val="44"/>
          <w:szCs w:val="44"/>
        </w:rPr>
        <w:t>年度“揭榜挂帅”科技项目榜单</w:t>
      </w:r>
      <w:r>
        <w:rPr>
          <w:rFonts w:hint="eastAsia" w:ascii="方正小标宋_GBK" w:hAnsi="方正小标宋_GBK" w:eastAsia="方正小标宋_GBK" w:cs="方正小标宋_GBK"/>
          <w:sz w:val="44"/>
          <w:szCs w:val="44"/>
        </w:rPr>
        <w:fldChar w:fldCharType="end"/>
      </w:r>
    </w:p>
    <w:p>
      <w:pPr>
        <w:keepNext w:val="0"/>
        <w:keepLines w:val="0"/>
        <w:pageBreakBefore w:val="0"/>
        <w:widowControl w:val="0"/>
        <w:kinsoku/>
        <w:wordWrap/>
        <w:overflowPunct/>
        <w:topLinePunct w:val="0"/>
        <w:autoSpaceDE/>
        <w:autoSpaceDN/>
        <w:bidi w:val="0"/>
        <w:adjustRightInd/>
        <w:snapToGrid/>
        <w:spacing w:line="500" w:lineRule="exact"/>
        <w:jc w:val="center"/>
        <w:textAlignment w:val="auto"/>
        <w:outlineLvl w:val="0"/>
        <w:rPr>
          <w:rFonts w:hint="eastAsia" w:ascii="方正小标宋_GBK" w:hAnsi="方正小标宋_GBK" w:eastAsia="方正小标宋_GBK" w:cs="方正小标宋_GBK"/>
          <w:sz w:val="44"/>
          <w:szCs w:val="44"/>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项目需求1：大平面混凝土机械化施工成套设备关键技</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术的研发与应用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val="en-US" w:eastAsia="zh-CN"/>
        </w:rPr>
        <w:t>新疆水利发展投资（集团）有限公司（原新疆额尔齐斯河投资开发（集团）有限公司）</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项目专员：陈勃文（19809008491）</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、需求内容</w:t>
      </w:r>
      <w:r>
        <w:rPr>
          <w:rFonts w:hint="eastAsia" w:ascii="方正黑体_GBK" w:hAnsi="方正黑体_GBK" w:eastAsia="方正黑体_GBK" w:cs="方正黑体_GBK"/>
          <w:sz w:val="32"/>
          <w:szCs w:val="32"/>
          <w:lang w:eastAsia="zh-CN"/>
        </w:rPr>
        <w:t>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1.适用于渠道、坝面、道路、机场等多场景，且在混凝土塑性阶段（45分钟内）所有工序一次性完成。研究与干硬性混凝土相适应，便于机械化置入的制缝材料。</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2.设备模块化率不小于60%；上下行走机构同步误差不大于5cm/m；设备适应坡长：10～16m；设备适应坡比：1:2～1:3；水平方向适应角度：0～5°；竖直方向适应角度：0～2°；设备转弯半径：R=500m。</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3.衬砌机摊铺厚度：10～30cm；衬砌机施工效率：10～75m³/h；置缝机行走速度：2m/min；成型辊行走速度：0～8m/min。</w:t>
      </w:r>
    </w:p>
    <w:p>
      <w:pPr>
        <w:pStyle w:val="6"/>
        <w:keepNext w:val="0"/>
        <w:keepLines w:val="0"/>
        <w:pageBreakBefore w:val="0"/>
        <w:widowControl/>
        <w:suppressLineNumbers w:val="0"/>
        <w:kinsoku/>
        <w:wordWrap/>
        <w:overflowPunct/>
        <w:topLinePunct w:val="0"/>
        <w:autoSpaceDE/>
        <w:autoSpaceDN/>
        <w:bidi w:val="0"/>
        <w:adjustRightInd/>
        <w:snapToGrid/>
        <w:spacing w:before="0" w:beforeAutospacing="0" w:after="0" w:afterAutospacing="0" w:line="500" w:lineRule="exact"/>
        <w:ind w:right="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4.智能检测效果：可对摊铺时间、混凝土方量、置缝耗材量等数据进行记录并自动生成施工日志。</w:t>
      </w:r>
    </w:p>
    <w:p>
      <w:pPr>
        <w:pStyle w:val="6"/>
        <w:keepNext w:val="0"/>
        <w:keepLines w:val="0"/>
        <w:pageBreakBefore w:val="0"/>
        <w:widowControl w:val="0"/>
        <w:numPr>
          <w:ilvl w:val="0"/>
          <w:numId w:val="0"/>
        </w:numPr>
        <w:suppressLineNumbers w:val="0"/>
        <w:kinsoku/>
        <w:wordWrap/>
        <w:overflowPunct/>
        <w:topLinePunct w:val="0"/>
        <w:autoSpaceDE/>
        <w:autoSpaceDN/>
        <w:bidi w:val="0"/>
        <w:adjustRightInd/>
        <w:snapToGrid/>
        <w:spacing w:before="0" w:beforeAutospacing="0" w:after="0" w:afterAutospacing="0" w:line="500" w:lineRule="exact"/>
        <w:ind w:right="0" w:rightChars="0" w:firstLine="640" w:firstLineChars="200"/>
        <w:textAlignment w:val="auto"/>
        <w:rPr>
          <w:rFonts w:hint="eastAsia" w:ascii="方正仿宋_GBK" w:hAnsi="Calibri" w:eastAsia="方正仿宋_GBK" w:cs="Times New Roman"/>
          <w:kern w:val="2"/>
          <w:sz w:val="32"/>
          <w:szCs w:val="32"/>
          <w:lang w:val="en-US" w:eastAsia="zh-CN" w:bidi="ar-SA"/>
        </w:rPr>
      </w:pPr>
      <w:r>
        <w:rPr>
          <w:rFonts w:hint="eastAsia" w:ascii="方正仿宋_GBK" w:hAnsi="Calibri" w:eastAsia="方正仿宋_GBK" w:cs="Times New Roman"/>
          <w:kern w:val="2"/>
          <w:sz w:val="32"/>
          <w:szCs w:val="32"/>
          <w:lang w:val="en-US" w:eastAsia="zh-CN" w:bidi="ar-SA"/>
        </w:rPr>
        <w:t>5.滑模衬砌机连续施工，混凝土厚度误差不大于1cm；混凝土机械化置缝，施工缝平整顺直；混凝土机械化收光抹平，减少表面裂缝50%。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、发榜方承诺提供的条件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1.配合</w:t>
      </w:r>
      <w:r>
        <w:rPr>
          <w:rFonts w:hint="eastAsia" w:ascii="方正仿宋_GBK" w:hAnsi="Calibri" w:eastAsia="方正仿宋_GBK" w:cs="Times New Roman"/>
          <w:kern w:val="2"/>
          <w:sz w:val="32"/>
          <w:szCs w:val="32"/>
          <w:lang w:val="en-US" w:eastAsia="zh-CN" w:bidi="ar-SA"/>
        </w:rPr>
        <w:t>组建包括</w:t>
      </w:r>
      <w:r>
        <w:rPr>
          <w:rFonts w:hint="eastAsia" w:ascii="方正仿宋_GBK" w:eastAsia="方正仿宋_GBK" w:cs="Times New Roman"/>
          <w:kern w:val="2"/>
          <w:sz w:val="32"/>
          <w:szCs w:val="32"/>
          <w:lang w:val="en-US" w:eastAsia="zh-CN" w:bidi="ar-SA"/>
        </w:rPr>
        <w:t>集团公司</w:t>
      </w:r>
      <w:r>
        <w:rPr>
          <w:rFonts w:hint="eastAsia" w:ascii="方正仿宋_GBK" w:hAnsi="Calibri" w:eastAsia="方正仿宋_GBK" w:cs="Times New Roman"/>
          <w:kern w:val="2"/>
          <w:sz w:val="32"/>
          <w:szCs w:val="32"/>
          <w:lang w:val="en-US" w:eastAsia="zh-CN" w:bidi="ar-SA"/>
        </w:rPr>
        <w:t>相关</w:t>
      </w:r>
      <w:r>
        <w:rPr>
          <w:rFonts w:hint="eastAsia" w:ascii="方正仿宋_GBK" w:eastAsia="方正仿宋_GBK" w:cs="Times New Roman"/>
          <w:kern w:val="2"/>
          <w:sz w:val="32"/>
          <w:szCs w:val="32"/>
          <w:lang w:val="en-US" w:eastAsia="zh-CN" w:bidi="ar-SA"/>
        </w:rPr>
        <w:t>部</w:t>
      </w:r>
      <w:r>
        <w:rPr>
          <w:rFonts w:hint="eastAsia" w:ascii="方正仿宋_GBK" w:hAnsi="Calibri" w:eastAsia="方正仿宋_GBK" w:cs="Times New Roman"/>
          <w:kern w:val="2"/>
          <w:sz w:val="32"/>
          <w:szCs w:val="32"/>
          <w:lang w:val="en-US" w:eastAsia="zh-CN" w:bidi="ar-SA"/>
        </w:rPr>
        <w:t>室、设计</w:t>
      </w:r>
      <w:r>
        <w:rPr>
          <w:rFonts w:hint="eastAsia" w:ascii="方正仿宋_GBK" w:eastAsia="方正仿宋_GBK" w:cs="Times New Roman"/>
          <w:kern w:val="2"/>
          <w:sz w:val="32"/>
          <w:szCs w:val="32"/>
          <w:lang w:val="en-US" w:eastAsia="zh-CN" w:bidi="ar-SA"/>
        </w:rPr>
        <w:t>、</w:t>
      </w:r>
      <w:r>
        <w:rPr>
          <w:rFonts w:hint="eastAsia" w:ascii="方正仿宋_GBK" w:hAnsi="Calibri" w:eastAsia="方正仿宋_GBK" w:cs="Times New Roman"/>
          <w:kern w:val="2"/>
          <w:sz w:val="32"/>
          <w:szCs w:val="32"/>
          <w:lang w:val="en-US" w:eastAsia="zh-CN" w:bidi="ar-SA"/>
        </w:rPr>
        <w:t>施工等单位为一体技术研发</w:t>
      </w:r>
      <w:r>
        <w:rPr>
          <w:rFonts w:hint="eastAsia" w:ascii="方正仿宋_GBK" w:eastAsia="方正仿宋_GBK" w:cs="Times New Roman"/>
          <w:kern w:val="2"/>
          <w:sz w:val="32"/>
          <w:szCs w:val="32"/>
          <w:lang w:val="en-US" w:eastAsia="zh-CN" w:bidi="ar-SA"/>
        </w:rPr>
        <w:t>协助</w:t>
      </w:r>
      <w:r>
        <w:rPr>
          <w:rFonts w:hint="eastAsia" w:ascii="方正仿宋_GBK" w:hAnsi="Calibri" w:eastAsia="方正仿宋_GBK" w:cs="Times New Roman"/>
          <w:kern w:val="2"/>
          <w:sz w:val="32"/>
          <w:szCs w:val="32"/>
          <w:lang w:val="en-US" w:eastAsia="zh-CN" w:bidi="ar-SA"/>
        </w:rPr>
        <w:t>团队。</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2.</w:t>
      </w:r>
      <w:r>
        <w:rPr>
          <w:rFonts w:hint="eastAsia" w:ascii="方正仿宋_GBK" w:hAnsi="Calibri" w:eastAsia="方正仿宋_GBK" w:cs="Times New Roman"/>
          <w:kern w:val="2"/>
          <w:sz w:val="32"/>
          <w:szCs w:val="32"/>
          <w:lang w:val="en-US" w:eastAsia="zh-CN" w:bidi="ar-SA"/>
        </w:rPr>
        <w:t>利用北疆供水工程，</w:t>
      </w:r>
      <w:r>
        <w:rPr>
          <w:rFonts w:hint="eastAsia" w:ascii="方正仿宋_GBK" w:eastAsia="方正仿宋_GBK" w:cs="Times New Roman"/>
          <w:kern w:val="2"/>
          <w:sz w:val="32"/>
          <w:szCs w:val="32"/>
          <w:lang w:val="en-US" w:eastAsia="zh-CN" w:bidi="ar-SA"/>
        </w:rPr>
        <w:t>提供实施</w:t>
      </w:r>
      <w:r>
        <w:rPr>
          <w:rFonts w:hint="eastAsia" w:ascii="方正仿宋_GBK" w:hAnsi="Calibri" w:eastAsia="方正仿宋_GBK" w:cs="Times New Roman"/>
          <w:kern w:val="2"/>
          <w:sz w:val="32"/>
          <w:szCs w:val="32"/>
          <w:lang w:val="en-US" w:eastAsia="zh-CN" w:bidi="ar-SA"/>
        </w:rPr>
        <w:t>混凝土机械化衬砌设备</w:t>
      </w:r>
      <w:r>
        <w:rPr>
          <w:rFonts w:hint="eastAsia" w:ascii="方正仿宋_GBK" w:eastAsia="方正仿宋_GBK" w:cs="Times New Roman"/>
          <w:kern w:val="2"/>
          <w:sz w:val="32"/>
          <w:szCs w:val="32"/>
          <w:lang w:val="en-US" w:eastAsia="zh-CN" w:bidi="ar-SA"/>
        </w:rPr>
        <w:t>及配套</w:t>
      </w:r>
      <w:r>
        <w:rPr>
          <w:rFonts w:hint="eastAsia" w:ascii="方正仿宋_GBK" w:hAnsi="Calibri" w:eastAsia="方正仿宋_GBK" w:cs="Times New Roman"/>
          <w:kern w:val="2"/>
          <w:sz w:val="32"/>
          <w:szCs w:val="32"/>
          <w:lang w:val="en-US" w:eastAsia="zh-CN" w:bidi="ar-SA"/>
        </w:rPr>
        <w:t>新材料</w:t>
      </w:r>
      <w:r>
        <w:rPr>
          <w:rFonts w:hint="eastAsia" w:ascii="方正仿宋_GBK" w:eastAsia="方正仿宋_GBK" w:cs="Times New Roman"/>
          <w:kern w:val="2"/>
          <w:sz w:val="32"/>
          <w:szCs w:val="32"/>
          <w:lang w:val="en-US" w:eastAsia="zh-CN" w:bidi="ar-SA"/>
        </w:rPr>
        <w:t>、</w:t>
      </w:r>
      <w:r>
        <w:rPr>
          <w:rFonts w:hint="eastAsia" w:ascii="方正仿宋_GBK" w:hAnsi="Calibri" w:eastAsia="方正仿宋_GBK" w:cs="Times New Roman"/>
          <w:kern w:val="2"/>
          <w:sz w:val="32"/>
          <w:szCs w:val="32"/>
          <w:lang w:val="en-US" w:eastAsia="zh-CN" w:bidi="ar-SA"/>
        </w:rPr>
        <w:t>设备</w:t>
      </w:r>
      <w:r>
        <w:rPr>
          <w:rFonts w:hint="eastAsia" w:ascii="方正仿宋_GBK" w:eastAsia="方正仿宋_GBK" w:cs="Times New Roman"/>
          <w:kern w:val="2"/>
          <w:sz w:val="32"/>
          <w:szCs w:val="32"/>
          <w:lang w:val="en-US" w:eastAsia="zh-CN" w:bidi="ar-SA"/>
        </w:rPr>
        <w:t>的</w:t>
      </w:r>
      <w:r>
        <w:rPr>
          <w:rFonts w:hint="eastAsia" w:ascii="方正仿宋_GBK" w:hAnsi="Calibri" w:eastAsia="方正仿宋_GBK" w:cs="Times New Roman"/>
          <w:kern w:val="2"/>
          <w:sz w:val="32"/>
          <w:szCs w:val="32"/>
          <w:lang w:val="en-US" w:eastAsia="zh-CN" w:bidi="ar-SA"/>
        </w:rPr>
        <w:t>试验性研究、应用性检验。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Calibri" w:eastAsia="方正仿宋_GBK" w:cs="Times New Roman"/>
          <w:kern w:val="2"/>
          <w:sz w:val="32"/>
          <w:szCs w:val="32"/>
          <w:lang w:val="en-US" w:eastAsia="zh-CN" w:bidi="ar-SA"/>
        </w:rPr>
      </w:pPr>
      <w:r>
        <w:rPr>
          <w:rFonts w:hint="eastAsia" w:ascii="方正仿宋_GBK" w:eastAsia="方正仿宋_GBK" w:cs="Times New Roman"/>
          <w:kern w:val="2"/>
          <w:sz w:val="32"/>
          <w:szCs w:val="32"/>
          <w:lang w:val="en-US" w:eastAsia="zh-CN" w:bidi="ar-SA"/>
        </w:rPr>
        <w:t>3.</w:t>
      </w:r>
      <w:r>
        <w:rPr>
          <w:rFonts w:hint="eastAsia" w:ascii="方正仿宋_GBK" w:hAnsi="Calibri" w:eastAsia="方正仿宋_GBK" w:cs="Times New Roman"/>
          <w:kern w:val="2"/>
          <w:sz w:val="32"/>
          <w:szCs w:val="32"/>
          <w:lang w:val="en-US" w:eastAsia="zh-CN" w:bidi="ar-SA"/>
        </w:rPr>
        <w:t>额</w:t>
      </w:r>
      <w:r>
        <w:rPr>
          <w:rFonts w:hint="eastAsia" w:ascii="方正仿宋_GBK" w:eastAsia="方正仿宋_GBK" w:cs="Times New Roman"/>
          <w:kern w:val="2"/>
          <w:sz w:val="32"/>
          <w:szCs w:val="32"/>
          <w:lang w:val="en-US" w:eastAsia="zh-CN" w:bidi="ar-SA"/>
        </w:rPr>
        <w:t>投集团</w:t>
      </w:r>
      <w:r>
        <w:rPr>
          <w:rFonts w:hint="eastAsia" w:ascii="方正仿宋_GBK" w:hAnsi="Calibri" w:eastAsia="方正仿宋_GBK" w:cs="Times New Roman"/>
          <w:kern w:val="2"/>
          <w:sz w:val="32"/>
          <w:szCs w:val="32"/>
          <w:lang w:val="en-US" w:eastAsia="zh-CN" w:bidi="ar-SA"/>
        </w:rPr>
        <w:t>是疆内大型水利工程建设管理单位，</w:t>
      </w:r>
      <w:r>
        <w:rPr>
          <w:rFonts w:hint="eastAsia" w:ascii="方正仿宋_GBK" w:eastAsia="方正仿宋_GBK" w:cs="Times New Roman"/>
          <w:kern w:val="2"/>
          <w:sz w:val="32"/>
          <w:szCs w:val="32"/>
          <w:lang w:val="en-US" w:eastAsia="zh-CN" w:bidi="ar-SA"/>
        </w:rPr>
        <w:t>能为</w:t>
      </w:r>
      <w:r>
        <w:rPr>
          <w:rFonts w:hint="eastAsia" w:ascii="方正仿宋_GBK" w:hAnsi="Calibri" w:eastAsia="方正仿宋_GBK" w:cs="Times New Roman"/>
          <w:kern w:val="2"/>
          <w:sz w:val="32"/>
          <w:szCs w:val="32"/>
          <w:lang w:val="en-US" w:eastAsia="zh-CN" w:bidi="ar-SA"/>
        </w:rPr>
        <w:t>设备</w:t>
      </w:r>
      <w:r>
        <w:rPr>
          <w:rFonts w:hint="eastAsia" w:ascii="方正仿宋_GBK" w:eastAsia="方正仿宋_GBK" w:cs="Times New Roman"/>
          <w:kern w:val="2"/>
          <w:sz w:val="32"/>
          <w:szCs w:val="32"/>
          <w:lang w:val="en-US" w:eastAsia="zh-CN" w:bidi="ar-SA"/>
        </w:rPr>
        <w:t>及</w:t>
      </w:r>
      <w:r>
        <w:rPr>
          <w:rFonts w:hint="eastAsia" w:ascii="方正仿宋_GBK" w:hAnsi="Calibri" w:eastAsia="方正仿宋_GBK" w:cs="Times New Roman"/>
          <w:kern w:val="2"/>
          <w:sz w:val="32"/>
          <w:szCs w:val="32"/>
          <w:lang w:val="en-US" w:eastAsia="zh-CN" w:bidi="ar-SA"/>
        </w:rPr>
        <w:t>技术</w:t>
      </w:r>
      <w:r>
        <w:rPr>
          <w:rFonts w:hint="eastAsia" w:ascii="方正仿宋_GBK" w:eastAsia="方正仿宋_GBK" w:cs="Times New Roman"/>
          <w:kern w:val="2"/>
          <w:sz w:val="32"/>
          <w:szCs w:val="32"/>
          <w:lang w:val="en-US" w:eastAsia="zh-CN" w:bidi="ar-SA"/>
        </w:rPr>
        <w:t>提供</w:t>
      </w:r>
      <w:r>
        <w:rPr>
          <w:rFonts w:hint="eastAsia" w:ascii="方正仿宋_GBK" w:hAnsi="Calibri" w:eastAsia="方正仿宋_GBK" w:cs="Times New Roman"/>
          <w:kern w:val="2"/>
          <w:sz w:val="32"/>
          <w:szCs w:val="32"/>
          <w:lang w:val="en-US" w:eastAsia="zh-CN" w:bidi="ar-SA"/>
        </w:rPr>
        <w:t>试验、研发、自应用平台。</w:t>
      </w:r>
      <w:r>
        <w:rPr>
          <w:rFonts w:hint="eastAsia" w:ascii="方正仿宋_GBK" w:eastAsia="方正仿宋_GBK" w:cs="Times New Roman"/>
          <w:kern w:val="2"/>
          <w:sz w:val="32"/>
          <w:szCs w:val="32"/>
          <w:lang w:val="en-US" w:eastAsia="zh-CN" w:bidi="ar-SA"/>
        </w:rPr>
        <w:t>为未来项目产业化发展提供基础条件和有效支撑</w:t>
      </w:r>
      <w:r>
        <w:rPr>
          <w:rFonts w:hint="eastAsia" w:ascii="方正仿宋_GBK" w:hAnsi="Calibri" w:eastAsia="方正仿宋_GBK" w:cs="Times New Roman"/>
          <w:kern w:val="2"/>
          <w:sz w:val="32"/>
          <w:szCs w:val="32"/>
          <w:lang w:val="en-US" w:eastAsia="zh-CN" w:bidi="ar-SA"/>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四、预期成果形式</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研究开发成果产生的专利权、使用收益权、申请奖励权、成果发布权等权益事宜，由额河投资集团和揭榜方协商后，依据合同约定执行。</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五、交付条件</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1.按期交付达到设计标准</w:t>
      </w:r>
      <w:r>
        <w:rPr>
          <w:rFonts w:hint="eastAsia" w:ascii="方正仿宋_GBK" w:eastAsia="方正仿宋_GBK"/>
          <w:color w:val="auto"/>
          <w:sz w:val="32"/>
          <w:szCs w:val="32"/>
        </w:rPr>
        <w:t>，符合技术指标</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质量指标</w:t>
      </w:r>
      <w:r>
        <w:rPr>
          <w:rFonts w:hint="eastAsia" w:ascii="方正仿宋_GBK" w:eastAsia="方正仿宋_GBK"/>
          <w:color w:val="auto"/>
          <w:sz w:val="32"/>
          <w:szCs w:val="32"/>
        </w:rPr>
        <w:t>要求</w:t>
      </w:r>
      <w:r>
        <w:rPr>
          <w:rFonts w:hint="eastAsia" w:ascii="方正仿宋_GBK" w:eastAsia="方正仿宋_GBK"/>
          <w:color w:val="auto"/>
          <w:sz w:val="32"/>
          <w:szCs w:val="32"/>
          <w:lang w:val="en-US" w:eastAsia="zh-CN"/>
        </w:rPr>
        <w:t>的成套设备。</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color w:val="auto"/>
          <w:sz w:val="32"/>
          <w:szCs w:val="32"/>
          <w:lang w:val="en-US" w:eastAsia="zh-CN"/>
        </w:rPr>
      </w:pPr>
      <w:r>
        <w:rPr>
          <w:rFonts w:hint="eastAsia" w:ascii="方正仿宋_GBK" w:eastAsia="方正仿宋_GBK"/>
          <w:color w:val="auto"/>
          <w:sz w:val="32"/>
          <w:szCs w:val="32"/>
          <w:lang w:val="en-US" w:eastAsia="zh-CN"/>
        </w:rPr>
        <w:t>2.</w:t>
      </w:r>
      <w:r>
        <w:rPr>
          <w:rFonts w:hint="eastAsia" w:ascii="方正仿宋_GBK" w:eastAsia="方正仿宋_GBK"/>
          <w:sz w:val="32"/>
          <w:szCs w:val="32"/>
        </w:rPr>
        <w:t>揭榜方</w:t>
      </w:r>
      <w:r>
        <w:rPr>
          <w:rFonts w:hint="eastAsia" w:ascii="方正仿宋_GBK" w:eastAsia="方正仿宋_GBK"/>
          <w:sz w:val="32"/>
          <w:szCs w:val="32"/>
          <w:lang w:val="en-US" w:eastAsia="zh-CN"/>
        </w:rPr>
        <w:t>依托发榜方提供的</w:t>
      </w:r>
      <w:r>
        <w:rPr>
          <w:rFonts w:hint="eastAsia" w:ascii="方正仿宋_GBK" w:eastAsia="方正仿宋_GBK"/>
          <w:color w:val="auto"/>
          <w:sz w:val="32"/>
          <w:szCs w:val="32"/>
          <w:lang w:val="en-US" w:eastAsia="zh-CN"/>
        </w:rPr>
        <w:t>试验场地，组织完成相关成套设备现场施工试验，且</w:t>
      </w:r>
      <w:r>
        <w:rPr>
          <w:rFonts w:hint="eastAsia" w:ascii="方正仿宋_GBK" w:eastAsia="方正仿宋_GBK"/>
          <w:color w:val="auto"/>
          <w:sz w:val="32"/>
          <w:szCs w:val="32"/>
        </w:rPr>
        <w:t>技术</w:t>
      </w:r>
      <w:r>
        <w:rPr>
          <w:rFonts w:hint="eastAsia" w:ascii="方正仿宋_GBK" w:eastAsia="方正仿宋_GBK"/>
          <w:color w:val="auto"/>
          <w:sz w:val="32"/>
          <w:szCs w:val="32"/>
          <w:lang w:eastAsia="zh-CN"/>
        </w:rPr>
        <w:t>、</w:t>
      </w:r>
      <w:r>
        <w:rPr>
          <w:rFonts w:hint="eastAsia" w:ascii="方正仿宋_GBK" w:eastAsia="方正仿宋_GBK"/>
          <w:color w:val="auto"/>
          <w:sz w:val="32"/>
          <w:szCs w:val="32"/>
          <w:lang w:val="en-US" w:eastAsia="zh-CN"/>
        </w:rPr>
        <w:t xml:space="preserve">质量、功效等满足指标要求。 </w:t>
      </w:r>
    </w:p>
    <w:p>
      <w:pPr>
        <w:keepNext w:val="0"/>
        <w:keepLines w:val="0"/>
        <w:pageBreakBefore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color w:val="auto"/>
          <w:sz w:val="32"/>
          <w:szCs w:val="32"/>
        </w:rPr>
      </w:pPr>
      <w:r>
        <w:rPr>
          <w:rFonts w:hint="eastAsia" w:ascii="方正仿宋_GBK" w:eastAsia="方正仿宋_GBK"/>
          <w:color w:val="auto"/>
          <w:sz w:val="32"/>
          <w:szCs w:val="32"/>
          <w:lang w:val="en-US" w:eastAsia="zh-CN"/>
        </w:rPr>
        <w:t>3.项目</w:t>
      </w:r>
      <w:r>
        <w:rPr>
          <w:rFonts w:hint="eastAsia" w:ascii="方正仿宋_GBK" w:eastAsia="方正仿宋_GBK"/>
          <w:color w:val="auto"/>
          <w:sz w:val="32"/>
          <w:szCs w:val="32"/>
        </w:rPr>
        <w:t>通过技术专家评审达成验收条件。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项目实施周期2年；</w:t>
      </w:r>
      <w:r>
        <w:rPr>
          <w:rFonts w:hint="eastAsia" w:ascii="方正仿宋_GBK" w:eastAsia="方正仿宋_GBK"/>
          <w:sz w:val="32"/>
          <w:szCs w:val="32"/>
        </w:rPr>
        <w:t>揭榜金额</w:t>
      </w:r>
      <w:r>
        <w:rPr>
          <w:rFonts w:hint="default" w:ascii="方正仿宋_GBK" w:eastAsia="方正仿宋_GBK"/>
          <w:sz w:val="32"/>
          <w:szCs w:val="32"/>
        </w:rPr>
        <w:t>不超过</w:t>
      </w:r>
      <w:r>
        <w:rPr>
          <w:rFonts w:hint="eastAsia" w:ascii="方正仿宋_GBK" w:eastAsia="方正仿宋_GBK"/>
          <w:sz w:val="32"/>
          <w:szCs w:val="32"/>
          <w:lang w:val="en-US" w:eastAsia="zh-CN"/>
        </w:rPr>
        <w:t>6</w:t>
      </w:r>
      <w:r>
        <w:rPr>
          <w:rFonts w:hint="eastAsia" w:ascii="方正仿宋_GBK" w:eastAsia="方正仿宋_GBK"/>
          <w:sz w:val="32"/>
          <w:szCs w:val="32"/>
        </w:rPr>
        <w:t>00万元。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小标宋简体" w:eastAsia="方正小标宋简体"/>
          <w:sz w:val="32"/>
          <w:szCs w:val="32"/>
        </w:rPr>
      </w:pPr>
      <w:r>
        <w:rPr>
          <w:rFonts w:hint="eastAsia" w:ascii="方正黑体_GBK" w:hAnsi="方正黑体_GBK" w:eastAsia="方正黑体_GBK" w:cs="方正黑体_GBK"/>
          <w:sz w:val="32"/>
          <w:szCs w:val="32"/>
          <w:lang w:eastAsia="zh-CN"/>
        </w:rPr>
        <w:t>七</w:t>
      </w:r>
      <w:r>
        <w:rPr>
          <w:rFonts w:hint="eastAsia" w:ascii="方正黑体_GBK" w:hAnsi="方正黑体_GBK" w:eastAsia="方正黑体_GBK" w:cs="方正黑体_GBK"/>
          <w:sz w:val="32"/>
          <w:szCs w:val="32"/>
        </w:rPr>
        <w:t>、对揭榜方要求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eastAsia="方正小标宋简体" w:cs="Times New Roman"/>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项目需求2：基于络合吸附法联合精馏提纯技术去除多</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晶硅中痕量杂质的研究与应用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新特能源股份有限公司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项目专员：王超（18599338486）</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寻找并筛选适用于氯硅烷除杂的吸附剂、络合剂，开展小试实验，探究吸附剂、络合剂性能，并</w:t>
      </w:r>
      <w:r>
        <w:rPr>
          <w:rFonts w:hint="eastAsia" w:ascii="方正仿宋_GBK" w:eastAsia="方正仿宋_GBK"/>
          <w:spacing w:val="-11"/>
          <w:sz w:val="32"/>
          <w:szCs w:val="32"/>
        </w:rPr>
        <w:t>进行理论研究。开发络合吸附法联合精馏中试装置，并实现工业化应用</w:t>
      </w:r>
      <w:r>
        <w:rPr>
          <w:rFonts w:hint="eastAsia" w:ascii="方正仿宋_GBK" w:eastAsia="方正仿宋_GBK"/>
          <w:spacing w:val="-11"/>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开发基于络合吸附法联合精馏提纯技术去除多晶硅中痕量杂质的成套技术，对施主杂质吸附效率≥50%，受主杂质吸附效率≥90%，碳杂质吸附效率≥80%，金属杂质吸附效率≥70%，通过络合吸附联合精馏装置，整体除杂效率≥90%，蒸汽消耗降低25%。</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拥有多晶硅行业专家和研发团队500余人，在科研和新产品开发方面的提供强有力的人才团队支撑</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拥有国家级联合实验室、自治区重点实验室、产学研联合开发示范基地等科技创新平台，为研发工作提供支持</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取得授权专利689件，其中发明专利399件、PCT国际专利9件，多项核心技术拥有自主知识产权。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rPr>
        <w:t>围绕基于络合吸附法联合精馏提纯技术去除多晶硅中痕量杂质的技术，所形成的成果所属权归双方共有。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开发1套基于络合吸附法联合精馏提纯技术去除多晶硅中痕量杂质的工艺技术，开发1套络合吸附法联合精馏中试装置，开发1种高效吸附材料，开发1种高效络合剂。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rPr>
      </w:pPr>
      <w:r>
        <w:rPr>
          <w:rFonts w:hint="eastAsia" w:ascii="方正仿宋_GBK" w:eastAsia="方正仿宋_GBK"/>
          <w:sz w:val="32"/>
          <w:szCs w:val="32"/>
        </w:rPr>
        <w:t>项目实施周期为2年；揭榜金额</w:t>
      </w:r>
      <w:r>
        <w:rPr>
          <w:rFonts w:hint="default" w:ascii="方正仿宋_GBK" w:eastAsia="方正仿宋_GBK"/>
          <w:sz w:val="32"/>
          <w:szCs w:val="32"/>
        </w:rPr>
        <w:t>不超过</w:t>
      </w:r>
      <w:r>
        <w:rPr>
          <w:rFonts w:hint="eastAsia" w:ascii="方正仿宋_GBK" w:eastAsia="方正仿宋_GBK"/>
          <w:sz w:val="32"/>
          <w:szCs w:val="32"/>
        </w:rPr>
        <w:t>700万元。</w:t>
      </w:r>
    </w:p>
    <w:p>
      <w:pPr>
        <w:keepNext w:val="0"/>
        <w:keepLines w:val="0"/>
        <w:pageBreakBefore w:val="0"/>
        <w:numPr>
          <w:ilvl w:val="0"/>
          <w:numId w:val="1"/>
        </w:numPr>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对揭榜方要求</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小标宋简体" w:eastAsia="方正小标宋简体"/>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项目需求3：用于锂电池的超纯高结构导电剂生产研发</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新疆峻新化工股份有限公司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项目专员：齐文婷（15509914607）</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开发具有自主知识产权可实现规模化生产的超纯高结构炭黑</w:t>
      </w:r>
      <w:r>
        <w:rPr>
          <w:rFonts w:ascii="方正仿宋_GBK" w:eastAsia="方正仿宋_GBK"/>
          <w:sz w:val="32"/>
          <w:szCs w:val="32"/>
        </w:rPr>
        <w:t>导电剂</w:t>
      </w:r>
      <w:r>
        <w:rPr>
          <w:rFonts w:hint="eastAsia" w:ascii="方正仿宋_GBK" w:eastAsia="方正仿宋_GBK"/>
          <w:sz w:val="32"/>
          <w:szCs w:val="32"/>
        </w:rPr>
        <w:t>生产技术，包括炭黑导电剂专用反应炉研制、炭黑导电剂生产工艺开发。</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炭黑反应炉技术指标：反应温度1</w:t>
      </w:r>
      <w:r>
        <w:rPr>
          <w:rFonts w:ascii="方正仿宋_GBK" w:eastAsia="方正仿宋_GBK"/>
          <w:sz w:val="32"/>
          <w:szCs w:val="32"/>
        </w:rPr>
        <w:t>800</w:t>
      </w:r>
      <w:r>
        <w:rPr>
          <w:rFonts w:ascii="宋体" w:hAnsi="宋体" w:eastAsia="宋体" w:cs="宋体"/>
          <w:sz w:val="32"/>
          <w:szCs w:val="32"/>
        </w:rPr>
        <w:t>℃</w:t>
      </w:r>
      <w:r>
        <w:rPr>
          <w:rFonts w:ascii="方正仿宋_GBK" w:eastAsia="方正仿宋_GBK"/>
          <w:sz w:val="32"/>
          <w:szCs w:val="32"/>
        </w:rPr>
        <w:t>-2000</w:t>
      </w:r>
      <w:r>
        <w:rPr>
          <w:rFonts w:ascii="宋体" w:hAnsi="宋体" w:eastAsia="宋体" w:cs="宋体"/>
          <w:sz w:val="32"/>
          <w:szCs w:val="32"/>
        </w:rPr>
        <w:t>℃</w:t>
      </w:r>
      <w:r>
        <w:rPr>
          <w:rFonts w:hint="eastAsia" w:ascii="方正仿宋_GBK" w:eastAsia="方正仿宋_GBK"/>
          <w:sz w:val="32"/>
          <w:szCs w:val="32"/>
        </w:rPr>
        <w:t xml:space="preserve"> ，产能</w:t>
      </w:r>
      <w:r>
        <w:rPr>
          <w:rFonts w:hint="eastAsia" w:ascii="方正仿宋_GBK" w:eastAsia="方正仿宋_GBK"/>
          <w:sz w:val="32"/>
          <w:szCs w:val="32"/>
          <w:lang w:val="en-US" w:eastAsia="zh-CN"/>
        </w:rPr>
        <w:t>≥</w:t>
      </w:r>
      <w:r>
        <w:rPr>
          <w:rFonts w:hint="eastAsia" w:ascii="方正仿宋_GBK" w:eastAsia="方正仿宋_GBK"/>
          <w:sz w:val="32"/>
          <w:szCs w:val="32"/>
        </w:rPr>
        <w:t>5000吨/年；单耗＜3.5吨乙烯焦油，或＜3.4吨蒽油</w:t>
      </w:r>
      <w:r>
        <w:rPr>
          <w:rFonts w:hint="eastAsia" w:ascii="方正仿宋_GBK" w:eastAsia="方正仿宋_GBK"/>
          <w:sz w:val="32"/>
          <w:szCs w:val="32"/>
          <w:lang w:eastAsia="zh-CN"/>
        </w:rPr>
        <w:t>。</w:t>
      </w:r>
      <w:r>
        <w:rPr>
          <w:rFonts w:hint="eastAsia" w:ascii="方正仿宋_GBK" w:eastAsia="方正仿宋_GBK"/>
          <w:sz w:val="32"/>
          <w:szCs w:val="32"/>
        </w:rPr>
        <w:t>炭黑导电剂指标：吸油值＞220ml/100g，BET比表面积在50-100</w:t>
      </w:r>
      <w:r>
        <w:rPr>
          <w:rFonts w:ascii="方正仿宋_GBK" w:eastAsia="方正仿宋_GBK"/>
          <w:sz w:val="32"/>
          <w:szCs w:val="32"/>
        </w:rPr>
        <w:t>m</w:t>
      </w:r>
      <w:r>
        <w:rPr>
          <w:rFonts w:ascii="方正仿宋_GBK" w:eastAsia="方正仿宋_GBK"/>
          <w:sz w:val="32"/>
          <w:szCs w:val="32"/>
          <w:vertAlign w:val="superscript"/>
        </w:rPr>
        <w:t>2</w:t>
      </w:r>
      <w:r>
        <w:rPr>
          <w:rFonts w:ascii="方正仿宋_GBK" w:eastAsia="方正仿宋_GBK"/>
          <w:sz w:val="32"/>
          <w:szCs w:val="32"/>
        </w:rPr>
        <w:t>/</w:t>
      </w:r>
      <w:r>
        <w:rPr>
          <w:rFonts w:hint="eastAsia" w:ascii="方正仿宋_GBK" w:eastAsia="方正仿宋_GBK"/>
          <w:sz w:val="32"/>
          <w:szCs w:val="32"/>
        </w:rPr>
        <w:t>g，灰分＜0.1%，挥发分＜0.5%，金属杂质含量＜10PPM (根据国标测试方法GB3778-2021)。</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配备相应的技术团队配合揭榜方进行技术开发</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炭黑反应炉之前或之后的工艺及设备可配合揭榜方进行相应的调整和开发</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若资金超出预先计划，可配合揭榜方增加投资预算。</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1</w:t>
      </w:r>
      <w:r>
        <w:rPr>
          <w:rFonts w:hint="eastAsia" w:ascii="方正仿宋_GBK" w:eastAsia="方正仿宋_GBK"/>
          <w:sz w:val="32"/>
          <w:szCs w:val="32"/>
          <w:lang w:val="en-US" w:eastAsia="zh-CN"/>
        </w:rPr>
        <w:t>.</w:t>
      </w:r>
      <w:r>
        <w:rPr>
          <w:rFonts w:hint="eastAsia" w:ascii="方正仿宋_GBK" w:eastAsia="方正仿宋_GBK"/>
          <w:sz w:val="32"/>
          <w:szCs w:val="32"/>
        </w:rPr>
        <w:t>5000吨/年炭黑导电剂专用反应炉1套</w:t>
      </w:r>
      <w:r>
        <w:rPr>
          <w:rFonts w:hint="eastAsia" w:ascii="方正仿宋_GBK" w:eastAsia="方正仿宋_GBK"/>
          <w:sz w:val="32"/>
          <w:szCs w:val="32"/>
          <w:lang w:val="en-US"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2</w:t>
      </w:r>
      <w:r>
        <w:rPr>
          <w:rFonts w:hint="eastAsia" w:ascii="方正仿宋_GBK" w:eastAsia="方正仿宋_GBK"/>
          <w:sz w:val="32"/>
          <w:szCs w:val="32"/>
          <w:lang w:val="en-US" w:eastAsia="zh-CN"/>
        </w:rPr>
        <w:t>.</w:t>
      </w:r>
      <w:r>
        <w:rPr>
          <w:rFonts w:hint="eastAsia" w:ascii="方正仿宋_GBK" w:eastAsia="方正仿宋_GBK"/>
          <w:sz w:val="32"/>
          <w:szCs w:val="32"/>
        </w:rPr>
        <w:t>锂电池超纯高结构炭黑导电剂生产新工艺</w:t>
      </w:r>
      <w:r>
        <w:rPr>
          <w:rFonts w:hint="eastAsia" w:ascii="方正仿宋_GBK" w:eastAsia="方正仿宋_GBK"/>
          <w:sz w:val="32"/>
          <w:szCs w:val="32"/>
          <w:lang w:val="en-US"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3</w:t>
      </w:r>
      <w:r>
        <w:rPr>
          <w:rFonts w:hint="eastAsia" w:ascii="方正仿宋_GBK" w:eastAsia="方正仿宋_GBK"/>
          <w:sz w:val="32"/>
          <w:szCs w:val="32"/>
          <w:lang w:val="en-US" w:eastAsia="zh-CN"/>
        </w:rPr>
        <w:t>.</w:t>
      </w:r>
      <w:r>
        <w:rPr>
          <w:rFonts w:hint="eastAsia" w:ascii="方正仿宋_GBK" w:eastAsia="方正仿宋_GBK"/>
          <w:sz w:val="32"/>
          <w:szCs w:val="32"/>
        </w:rPr>
        <w:t>申请发明专利1项，实用新型2项（专利及技术秘密归属于</w:t>
      </w:r>
      <w:r>
        <w:rPr>
          <w:rFonts w:hint="eastAsia" w:ascii="方正仿宋_GBK" w:eastAsia="方正仿宋_GBK"/>
          <w:sz w:val="32"/>
          <w:szCs w:val="32"/>
          <w:lang w:val="en-US" w:eastAsia="zh-CN"/>
        </w:rPr>
        <w:t>发榜方</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1</w:t>
      </w:r>
      <w:r>
        <w:rPr>
          <w:rFonts w:hint="eastAsia" w:ascii="方正仿宋_GBK" w:eastAsia="方正仿宋_GBK"/>
          <w:sz w:val="32"/>
          <w:szCs w:val="32"/>
          <w:lang w:val="en-US" w:eastAsia="zh-CN"/>
        </w:rPr>
        <w:t>.</w:t>
      </w:r>
      <w:r>
        <w:rPr>
          <w:rFonts w:hint="eastAsia" w:ascii="方正仿宋_GBK" w:eastAsia="方正仿宋_GBK"/>
          <w:sz w:val="32"/>
          <w:szCs w:val="32"/>
        </w:rPr>
        <w:t>5000吨/年炭黑导电剂专用反应炉1套</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rPr>
        <w:t>2</w:t>
      </w:r>
      <w:r>
        <w:rPr>
          <w:rFonts w:hint="eastAsia" w:ascii="方正仿宋_GBK" w:eastAsia="方正仿宋_GBK"/>
          <w:sz w:val="32"/>
          <w:szCs w:val="32"/>
          <w:lang w:val="en-US" w:eastAsia="zh-CN"/>
        </w:rPr>
        <w:t>.</w:t>
      </w:r>
      <w:r>
        <w:rPr>
          <w:rFonts w:hint="eastAsia" w:ascii="方正仿宋_GBK" w:eastAsia="方正仿宋_GBK"/>
          <w:sz w:val="32"/>
          <w:szCs w:val="32"/>
        </w:rPr>
        <w:t>炭黑导电剂生产工艺包</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项目实施周期为3年；揭榜金额</w:t>
      </w:r>
      <w:r>
        <w:rPr>
          <w:rFonts w:hint="default" w:ascii="方正仿宋_GBK" w:eastAsia="方正仿宋_GBK"/>
          <w:sz w:val="32"/>
          <w:szCs w:val="32"/>
        </w:rPr>
        <w:t>不超过</w:t>
      </w:r>
      <w:r>
        <w:rPr>
          <w:rFonts w:hint="eastAsia" w:ascii="方正仿宋_GBK" w:eastAsia="方正仿宋_GBK"/>
          <w:sz w:val="32"/>
          <w:szCs w:val="32"/>
        </w:rPr>
        <w:t>1</w:t>
      </w:r>
      <w:r>
        <w:rPr>
          <w:rFonts w:hint="eastAsia" w:ascii="方正仿宋_GBK" w:eastAsia="方正仿宋_GBK"/>
          <w:sz w:val="32"/>
          <w:szCs w:val="32"/>
          <w:lang w:val="en-US" w:eastAsia="zh-CN"/>
        </w:rPr>
        <w:t>460</w:t>
      </w:r>
      <w:r>
        <w:rPr>
          <w:rFonts w:hint="default" w:ascii="方正仿宋_GBK" w:eastAsia="方正仿宋_GBK"/>
          <w:sz w:val="32"/>
          <w:szCs w:val="32"/>
        </w:rPr>
        <w:t>万元</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项目需求4：基于</w:t>
      </w:r>
      <w:bookmarkStart w:id="0" w:name="_Hlk124776812"/>
      <w:r>
        <w:rPr>
          <w:rFonts w:hint="eastAsia" w:ascii="方正黑体_GBK" w:hAnsi="方正黑体_GBK" w:eastAsia="方正黑体_GBK" w:cs="方正黑体_GBK"/>
          <w:sz w:val="32"/>
          <w:szCs w:val="32"/>
        </w:rPr>
        <w:t>IGCT的模块化多电平换流阀技术</w:t>
      </w:r>
      <w:bookmarkEnd w:id="0"/>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特变电工新疆新能源股份有限公司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项目专员：许琴（186</w:t>
      </w:r>
      <w:r>
        <w:rPr>
          <w:rFonts w:ascii="方正仿宋_GBK" w:eastAsia="方正仿宋_GBK"/>
          <w:sz w:val="32"/>
          <w:szCs w:val="32"/>
        </w:rPr>
        <w:t>90288208</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lang w:eastAsia="zh-CN"/>
        </w:rPr>
        <w:t>需求</w:t>
      </w:r>
      <w:r>
        <w:rPr>
          <w:rFonts w:hint="eastAsia" w:ascii="方正楷体_GBK" w:hAnsi="方正楷体_GBK" w:eastAsia="方正楷体_GBK" w:cs="方正楷体_GBK"/>
          <w:b w:val="0"/>
          <w:bCs w:val="0"/>
          <w:sz w:val="32"/>
          <w:szCs w:val="32"/>
        </w:rPr>
        <w:t>内容</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IGCT 的功率模块技术研究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完成 IGCT 功率模块技术研究，包括 IGCT 功率模块拓扑结构、IGCT 动态特性、损耗计算方法及模型搭建、电气参数设计方法、元器件选型、功率模块组件设计方案、IGCT 压接技术。</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IGCT 的换流阀阀塔技术研究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完成IGCT阀设计技术研究，包括 IGCT 阀塔电气设计、电磁场物理仿真研究、IGCT 阀塔结构设计、IGCT 阀水冷设计、IGCT 阀维护技术、绝缘技术研究。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基于 IGCT 功率模块的控制策略及保护研究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结合 IGCT 器件本身的应用特点，完成 IGCT 模块的运行特性、控制策略、保护方式、故障处理策略等方面的研究，并在阀段实验平台上进行相关试验验证。</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IGCT 换流阀的成套设备测试方法研究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包括 IGCT 器件的动态特性研究、IGCT 抑制吸收回路参数评估、IGCT 功率模块测试方法、IGCT 阀组件测试方法研究，形成完善的 IGCT 换流阀成套测试规范。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楷体_GBK" w:hAnsi="方正楷体_GBK" w:eastAsia="方正楷体_GBK" w:cs="方正楷体_GBK"/>
          <w:b w:val="0"/>
          <w:bCs w:val="0"/>
          <w:sz w:val="32"/>
          <w:szCs w:val="32"/>
        </w:rPr>
      </w:pPr>
      <w:r>
        <w:rPr>
          <w:rFonts w:hint="eastAsia" w:ascii="方正楷体_GBK" w:hAnsi="方正楷体_GBK" w:eastAsia="方正楷体_GBK" w:cs="方正楷体_GBK"/>
          <w:b w:val="0"/>
          <w:bCs w:val="0"/>
          <w:sz w:val="32"/>
          <w:szCs w:val="32"/>
        </w:rPr>
        <w:t>技术指标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开发基于国产化 IGCT 器件的柔直换流阀功率模块及阀组件，完成 1 套实物样机</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开发功率模块产品满足运行电压 3kV，运行电流 1420A，可关断电流 3.8kA，开关频率不高于 200Hz</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形成 IGCT 换流阀的成套设备测试方法研究，完成 1 份测试方法研究报告。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企业建有 IGBT 双脉冲试验平台、阀段老化及短路平台、±10kV/60MW 样机、试验平台水冷系统、功率模块自老化平台、功率模块测试仪等设备，拥有从单板、装置到系统级完善的测试和试验设备、单板级和装置级测试拥有自动测试平台和仿真平台、系统级测试拥有动模仿真平台、IGBT 组件双脉冲、子模块自动化测试、数据自动存储打印平台。试验设备全面完善，具备柔性直流输电换流阀在乌东德特高压柔性直流输电工程中的应用经验。</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1.</w:t>
      </w:r>
      <w:r>
        <w:rPr>
          <w:rFonts w:hint="eastAsia" w:ascii="方正仿宋_GBK" w:eastAsia="方正仿宋_GBK"/>
          <w:sz w:val="32"/>
          <w:szCs w:val="32"/>
        </w:rPr>
        <w:t>开发基于国产化 IGCT 器件的柔直换流阀功率模块及阀组件，完成 1 套实物样机</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开发功率模块产品满足运行电压 3kV，运行电流 1420A，可关断电流 3.8kA，开关频率不高于 200Hz</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val="en-US" w:eastAsia="zh-CN"/>
        </w:rPr>
        <w:t>3.</w:t>
      </w:r>
      <w:r>
        <w:rPr>
          <w:rFonts w:hint="eastAsia" w:ascii="方正仿宋_GBK" w:eastAsia="方正仿宋_GBK"/>
          <w:sz w:val="32"/>
          <w:szCs w:val="32"/>
        </w:rPr>
        <w:t>基于国产化新型 IGCT 的换流阀与 IGBT 换流阀相比， 损耗降低 10%</w:t>
      </w:r>
      <w:r>
        <w:rPr>
          <w:rFonts w:hint="eastAsia" w:ascii="方正仿宋_GBK" w:eastAsia="方正仿宋_GBK"/>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形成 IGCT 换流阀的成套设备测试方法研究，完成 1 份测试方法研究报告。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sz w:val="32"/>
          <w:szCs w:val="32"/>
        </w:rPr>
      </w:pPr>
      <w:r>
        <w:rPr>
          <w:rFonts w:hint="eastAsia" w:ascii="方正仿宋_GBK" w:eastAsia="方正仿宋_GBK"/>
          <w:sz w:val="32"/>
          <w:szCs w:val="32"/>
        </w:rPr>
        <w:t>完成IGCT的模块化多电平换流阀技术研究，开发基于国产化 IGCT 器件的柔直换流阀功率模块（功率模块产品满足运行电压 3kV，运行电流 1420A，可关断电流 3.8kA，开关频率不高于 200Hz）及阀组件，损耗降低10%，完成 1 份测试方法研究报告。通过技术专家评审，达成验收条件。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rPr>
      </w:pPr>
      <w:r>
        <w:rPr>
          <w:rFonts w:hint="eastAsia" w:ascii="方正仿宋_GBK" w:eastAsia="方正仿宋_GBK"/>
          <w:sz w:val="32"/>
          <w:szCs w:val="32"/>
        </w:rPr>
        <w:t>项目实施周期为3年；揭榜金额</w:t>
      </w:r>
      <w:r>
        <w:rPr>
          <w:rFonts w:hint="default" w:ascii="方正仿宋_GBK" w:eastAsia="方正仿宋_GBK"/>
          <w:sz w:val="32"/>
          <w:szCs w:val="32"/>
        </w:rPr>
        <w:t>不超过</w:t>
      </w:r>
      <w:r>
        <w:rPr>
          <w:rFonts w:hint="eastAsia" w:ascii="方正仿宋_GBK" w:eastAsia="方正仿宋_GBK"/>
          <w:sz w:val="32"/>
          <w:szCs w:val="32"/>
          <w:lang w:val="en-US" w:eastAsia="zh-CN"/>
        </w:rPr>
        <w:t>1196</w:t>
      </w:r>
      <w:r>
        <w:rPr>
          <w:rFonts w:hint="eastAsia" w:ascii="方正仿宋_GBK" w:eastAsia="方正仿宋_GBK"/>
          <w:sz w:val="32"/>
          <w:szCs w:val="32"/>
        </w:rPr>
        <w:t>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1"/>
        <w:rPr>
          <w:rFonts w:hint="eastAsia" w:ascii="方正黑体_GBK" w:hAnsi="方正黑体_GBK" w:eastAsia="方正黑体_GBK" w:cs="方正黑体_GBK"/>
          <w:sz w:val="32"/>
          <w:szCs w:val="32"/>
        </w:rPr>
      </w:pPr>
      <w:r>
        <w:rPr>
          <w:rFonts w:hint="eastAsia" w:ascii="方正小标宋简体" w:eastAsia="方正小标宋简体"/>
          <w:sz w:val="32"/>
          <w:szCs w:val="32"/>
        </w:rPr>
        <w:br w:type="page"/>
      </w:r>
      <w:r>
        <w:rPr>
          <w:rFonts w:hint="eastAsia" w:ascii="方正黑体_GBK" w:hAnsi="方正黑体_GBK" w:eastAsia="方正黑体_GBK" w:cs="方正黑体_GBK"/>
          <w:sz w:val="32"/>
          <w:szCs w:val="32"/>
        </w:rPr>
        <w:t>项目需求5：开关成套设备智能运维、仿真设计关键技</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1"/>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sz w:val="32"/>
          <w:szCs w:val="32"/>
        </w:rPr>
        <w:t>术的研究与应用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color w:val="000000"/>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rPr>
        <w:t>新疆特变电工自控设备有限公司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rPr>
        <w:t>项目专员：方超（17609931313）</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lang w:val="en-US" w:eastAsia="zh-CN"/>
        </w:rPr>
        <w:t>1.</w:t>
      </w:r>
      <w:r>
        <w:rPr>
          <w:rFonts w:hint="eastAsia" w:ascii="方正仿宋_GBK" w:eastAsia="方正仿宋_GBK"/>
          <w:color w:val="000000"/>
          <w:sz w:val="32"/>
          <w:szCs w:val="32"/>
        </w:rPr>
        <w:t>提供开关成套设备集成仿真技术研究，技术指标：完成标准产品三维仿真设计，覆盖率达到≥80%；原材料模型数量不低于≥300项；工单数据接收≥3项，准确率达到99.8%以上；打通设计研发与生产制造的信息流，提升数字化生产能力</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软件著作权1项。</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color w:val="000000"/>
          <w:sz w:val="32"/>
          <w:szCs w:val="32"/>
          <w:lang w:eastAsia="zh-CN"/>
        </w:rPr>
      </w:pPr>
      <w:r>
        <w:rPr>
          <w:rFonts w:hint="eastAsia" w:ascii="方正仿宋_GBK" w:eastAsia="方正仿宋_GBK"/>
          <w:color w:val="000000"/>
          <w:sz w:val="32"/>
          <w:szCs w:val="32"/>
          <w:lang w:val="en-US" w:eastAsia="zh-CN"/>
        </w:rPr>
        <w:t>2.</w:t>
      </w:r>
      <w:r>
        <w:rPr>
          <w:rFonts w:hint="eastAsia" w:ascii="方正仿宋_GBK" w:eastAsia="方正仿宋_GBK"/>
          <w:color w:val="000000"/>
          <w:sz w:val="32"/>
          <w:szCs w:val="32"/>
        </w:rPr>
        <w:t>开发开关成套设备故障机理及智能诊断专家系统研究，技术指标：完成开关成套产品专家诊断预评价数据数量≥8项；完成典型故障数据库，典型故障数量≥100项；完成专家诊断智能决策模型建立，并申请软件著作权1项；搭建云桌面的实施方案，解决研发部门数据泄露问题</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提交《完成开关成套设备智能诊断专家系统设计技术报告》1份，⑥完成在线监测装置样机1套，出具试验报告1份</w:t>
      </w:r>
      <w:r>
        <w:rPr>
          <w:rFonts w:hint="eastAsia" w:ascii="方正仿宋_GBK"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color w:val="000000"/>
          <w:sz w:val="32"/>
          <w:szCs w:val="32"/>
        </w:rPr>
      </w:pPr>
      <w:r>
        <w:rPr>
          <w:rFonts w:hint="eastAsia" w:ascii="方正仿宋_GBK" w:eastAsia="方正仿宋_GBK"/>
          <w:color w:val="000000"/>
          <w:sz w:val="32"/>
          <w:szCs w:val="32"/>
          <w:lang w:val="en-US" w:eastAsia="zh-CN"/>
        </w:rPr>
        <w:t>3.</w:t>
      </w:r>
      <w:r>
        <w:rPr>
          <w:rFonts w:hint="eastAsia" w:ascii="方正仿宋_GBK" w:eastAsia="方正仿宋_GBK"/>
          <w:color w:val="000000"/>
          <w:sz w:val="32"/>
          <w:szCs w:val="32"/>
        </w:rPr>
        <w:t>搭建基于5</w:t>
      </w:r>
      <w:r>
        <w:rPr>
          <w:rFonts w:ascii="方正仿宋_GBK" w:eastAsia="方正仿宋_GBK"/>
          <w:color w:val="000000"/>
          <w:sz w:val="32"/>
          <w:szCs w:val="32"/>
        </w:rPr>
        <w:t>G+TSN</w:t>
      </w:r>
      <w:r>
        <w:rPr>
          <w:rFonts w:hint="eastAsia" w:ascii="方正仿宋_GBK" w:eastAsia="方正仿宋_GBK"/>
          <w:color w:val="000000"/>
          <w:sz w:val="32"/>
          <w:szCs w:val="32"/>
        </w:rPr>
        <w:t>分布式存储的云共享规划及应用。技术指标：开发数字化工厂顶层规划中的在产区内搭建XR平台，实现工厂产线三维虚拟场景的搭建，工业VR/AR场景端到端时延≤25ms，时钟同步&lt;1μs，可靠性&gt;99.9%，定位延时&lt;15ms，同时支持无缝切换</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完成开关成套设备的远程运维平台开发；完成5G+TSN融合关键技术研究，实现在线监测数据传输时延≤200ms,信息传输可靠性≥90%，传输带宽不低于10Gbps，信源频率达到2.6GHz或3.5GHz，数据安全性达100%，数据实现双副本冗余；完成跨区域分布式协同数据采集</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完成基于分布式存储的云共享规划及应用。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color w:val="000000"/>
          <w:sz w:val="32"/>
          <w:szCs w:val="32"/>
        </w:rPr>
      </w:pPr>
      <w:r>
        <w:rPr>
          <w:rFonts w:hint="eastAsia" w:ascii="方正仿宋_GBK" w:eastAsia="方正仿宋_GBK"/>
          <w:color w:val="000000"/>
          <w:sz w:val="32"/>
          <w:szCs w:val="32"/>
        </w:rPr>
        <w:t>从申请单位具备的研发基础、知识产权情况，在成果转化和产业化等方面具备的条件等方面，可对揭榜单位提供的条件和承诺。具备开关成套设备研发、生产、试验条件.拥有先进的开关成套设备检测、分析及测试手段。</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lang w:eastAsia="zh-CN"/>
        </w:rPr>
      </w:pPr>
      <w:r>
        <w:rPr>
          <w:rFonts w:hint="eastAsia" w:ascii="方正仿宋_GBK" w:eastAsia="方正仿宋_GBK"/>
          <w:color w:val="000000"/>
          <w:sz w:val="32"/>
          <w:szCs w:val="32"/>
        </w:rPr>
        <w:t>1.本项目软件著作权申请，发榜方为第一申请人，揭榜方为第二申请人。未经发榜方允许，揭榜方不得向第三方转让软件著作权权益。针对软件著作权所产生的收益，发榜方使用归发榜方，揭榜方单独实施归揭榜方</w:t>
      </w:r>
      <w:r>
        <w:rPr>
          <w:rFonts w:hint="eastAsia" w:ascii="方正仿宋_GBK"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eastAsia="方正仿宋_GBK"/>
          <w:color w:val="000000"/>
          <w:sz w:val="32"/>
          <w:szCs w:val="32"/>
        </w:rPr>
      </w:pPr>
      <w:r>
        <w:rPr>
          <w:rFonts w:hint="eastAsia" w:ascii="方正仿宋_GBK" w:eastAsia="方正仿宋_GBK"/>
          <w:color w:val="000000"/>
          <w:sz w:val="32"/>
          <w:szCs w:val="32"/>
        </w:rPr>
        <w:t>2.本项目技术成果，如发榜方决定以技术秘密的形式进行保护的，技术秘密归发榜方所有，揭榜方不得保存相关技术资料，参与人员不得对外披露相关技术秘密。</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黑体_GBK" w:hAnsi="方正黑体_GBK" w:eastAsia="方正黑体_GBK" w:cs="方正黑体_GBK"/>
          <w:color w:val="000000"/>
          <w:sz w:val="32"/>
          <w:szCs w:val="32"/>
        </w:rPr>
      </w:pPr>
      <w:r>
        <w:rPr>
          <w:rFonts w:hint="eastAsia" w:ascii="方正仿宋_GBK" w:eastAsia="方正仿宋_GBK"/>
          <w:color w:val="000000"/>
          <w:sz w:val="32"/>
          <w:szCs w:val="32"/>
        </w:rPr>
        <w:t>完成开关成套设备数字线束集成仿真技术开发，完成开关成套设备智能诊断专家系统设计，针对新疆特变电工自控设备有限公司工厂设备的实际情况，完成开关成套设备的远程运维平开发台。符合技术指标中有效性要求，通过技术专家评审，达成验收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六、项目实施周期及揭榜金额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sz w:val="32"/>
          <w:szCs w:val="32"/>
        </w:rPr>
      </w:pPr>
      <w:r>
        <w:rPr>
          <w:rFonts w:hint="eastAsia" w:ascii="方正仿宋_GBK" w:eastAsia="方正仿宋_GBK"/>
          <w:color w:val="000000"/>
          <w:sz w:val="32"/>
          <w:szCs w:val="32"/>
          <w:lang w:val="en-US" w:eastAsia="zh-CN"/>
        </w:rPr>
        <w:t>项目实施周期为2年；揭榜金额</w:t>
      </w:r>
      <w:r>
        <w:rPr>
          <w:rFonts w:hint="default" w:ascii="方正仿宋_GBK" w:eastAsia="方正仿宋_GBK"/>
          <w:color w:val="000000"/>
          <w:sz w:val="32"/>
          <w:szCs w:val="32"/>
          <w:lang w:eastAsia="zh-CN"/>
        </w:rPr>
        <w:t>不超过</w:t>
      </w:r>
      <w:r>
        <w:rPr>
          <w:rFonts w:hint="eastAsia" w:ascii="方正仿宋_GBK" w:eastAsia="方正仿宋_GBK"/>
          <w:color w:val="000000"/>
          <w:sz w:val="32"/>
          <w:szCs w:val="32"/>
          <w:lang w:val="en-US" w:eastAsia="zh-CN"/>
        </w:rPr>
        <w:t>400万元</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color w:val="000000"/>
          <w:sz w:val="32"/>
          <w:szCs w:val="32"/>
        </w:rPr>
      </w:pPr>
      <w:r>
        <w:rPr>
          <w:rFonts w:hint="eastAsia" w:ascii="方正黑体_GBK" w:hAnsi="方正黑体_GBK" w:eastAsia="方正黑体_GBK" w:cs="方正黑体_GBK"/>
          <w:color w:val="000000"/>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简体" w:eastAsia="方正小标宋简体"/>
          <w:sz w:val="32"/>
          <w:szCs w:val="32"/>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项目需求6：新型低能耗碳捕集溶剂研制与工业化验证</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新疆敦华绿碳技术股份有限公司</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项目专员：武生莲（13909904592）</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lang w:eastAsia="zh-CN"/>
        </w:rPr>
      </w:pPr>
      <w:r>
        <w:rPr>
          <w:rFonts w:hint="eastAsia" w:ascii="方正仿宋_GBK" w:eastAsia="方正仿宋_GBK"/>
          <w:color w:val="000000"/>
          <w:sz w:val="32"/>
          <w:szCs w:val="32"/>
          <w:lang w:val="en-US" w:eastAsia="zh-CN"/>
        </w:rPr>
        <w:t>1.</w:t>
      </w:r>
      <w:r>
        <w:rPr>
          <w:rFonts w:hint="eastAsia" w:ascii="方正仿宋_GBK" w:eastAsia="方正仿宋_GBK"/>
          <w:color w:val="000000"/>
          <w:sz w:val="32"/>
          <w:szCs w:val="32"/>
        </w:rPr>
        <w:t>开发高性能抗氧化低能耗混合吸收剂体系、在吸收剂发展的基础上，经过对吸收和解吸工艺的刨析，开发适用于低温热利用，能量集成，反应分离过程耦合和场效应强化集成的解吸新工艺， 建立新型的中试装置一套</w:t>
      </w:r>
      <w:r>
        <w:rPr>
          <w:rFonts w:hint="eastAsia" w:ascii="方正仿宋_GBK" w:eastAsia="方正仿宋_GBK"/>
          <w:color w:val="000000"/>
          <w:sz w:val="32"/>
          <w:szCs w:val="32"/>
          <w:lang w:eastAsia="zh-CN"/>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lang w:val="en-US" w:eastAsia="zh-CN"/>
        </w:rPr>
        <w:t>2.</w:t>
      </w:r>
      <w:r>
        <w:rPr>
          <w:rFonts w:hint="eastAsia" w:ascii="方正仿宋_GBK" w:eastAsia="方正仿宋_GBK"/>
          <w:color w:val="000000"/>
          <w:sz w:val="32"/>
          <w:szCs w:val="32"/>
        </w:rPr>
        <w:t>吸收剂在130℃恒温10天时，溶剂解吸能耗比MEA体系降低40%，并经过中试验证</w:t>
      </w:r>
      <w:r>
        <w:rPr>
          <w:rFonts w:hint="eastAsia" w:ascii="方正仿宋_GBK" w:eastAsia="方正仿宋_GBK"/>
          <w:color w:val="000000"/>
          <w:sz w:val="32"/>
          <w:szCs w:val="32"/>
          <w:lang w:eastAsia="zh-CN"/>
        </w:rPr>
        <w:t>；</w:t>
      </w:r>
      <w:r>
        <w:rPr>
          <w:rFonts w:hint="eastAsia" w:ascii="方正仿宋_GBK" w:eastAsia="方正仿宋_GBK"/>
          <w:color w:val="000000"/>
          <w:sz w:val="32"/>
          <w:szCs w:val="32"/>
        </w:rPr>
        <w:t>开发解吸新工艺，建立新型的中试装置一套，在中试装置上，测定吸收剂解吸再生热耗小于2.35 GJ/t CO</w:t>
      </w:r>
      <w:r>
        <w:rPr>
          <w:rFonts w:hint="eastAsia" w:ascii="方正仿宋_GBK" w:eastAsia="方正仿宋_GBK"/>
          <w:color w:val="000000"/>
          <w:sz w:val="32"/>
          <w:szCs w:val="32"/>
          <w:vertAlign w:val="subscript"/>
        </w:rPr>
        <w:t>2</w:t>
      </w:r>
      <w:r>
        <w:rPr>
          <w:rFonts w:hint="eastAsia" w:ascii="方正仿宋_GBK" w:eastAsia="方正仿宋_GBK"/>
          <w:color w:val="000000"/>
          <w:sz w:val="32"/>
          <w:szCs w:val="32"/>
        </w:rPr>
        <w:t xml:space="preserve">。 </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三、发榜方承诺提供的条件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敦华绿碳拥有两套自主产权的溶剂法二氧化碳捕集装置，这两座工厂可为项目的成果转化提供工业化运行条件。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克拉玛依二氧化碳捕集厂及库车二氧化碳捕集厂，原料气为制氢弛放尾气，二氧化碳捕集规模在10万吨/年以上。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eastAsia="方正仿宋_GBK"/>
          <w:color w:val="000000"/>
          <w:sz w:val="32"/>
          <w:szCs w:val="32"/>
        </w:rPr>
      </w:pPr>
      <w:r>
        <w:rPr>
          <w:rFonts w:hint="eastAsia" w:ascii="方正仿宋_GBK" w:eastAsia="方正仿宋_GBK"/>
          <w:color w:val="000000"/>
          <w:sz w:val="32"/>
          <w:szCs w:val="32"/>
        </w:rPr>
        <w:t>研发的配方、生产工艺、效果验证报告，所发表的文章或者专利所属权归双方共有。中试装置归发榜方所有。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default" w:ascii="方正仿宋_GBK" w:eastAsia="方正仿宋_GBK"/>
          <w:color w:val="000000"/>
          <w:sz w:val="32"/>
          <w:szCs w:val="32"/>
        </w:rPr>
      </w:pPr>
      <w:r>
        <w:rPr>
          <w:rFonts w:hint="eastAsia" w:ascii="方正仿宋_GBK" w:eastAsia="方正仿宋_GBK"/>
          <w:color w:val="000000"/>
          <w:sz w:val="32"/>
          <w:szCs w:val="32"/>
        </w:rPr>
        <w:t>在实验室溶剂研究的基础上，搭建模块化组合式碳捕集吸收-解吸综合中试研究平台，可分别进行不同研究目标的功能模块组合，其中达成验收的模块为反应分离耦合，低温热利用和微波场效应强化模块，计划的原料条件为克拉玛依石化加氢弛放气，完成弛放气不小于100L /h的中试验证，达到交付条件中的能耗水平，通过技术专家评审，达成验收条件</w:t>
      </w:r>
      <w:r>
        <w:rPr>
          <w:rFonts w:hint="default" w:ascii="方正仿宋_GBK" w:eastAsia="方正仿宋_GBK"/>
          <w:color w:val="000000"/>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六、项目实施周期及揭榜金额</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hint="eastAsia"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rPr>
        <w:t>项目实施周期为3年，揭榜金额</w:t>
      </w:r>
      <w:r>
        <w:rPr>
          <w:rFonts w:hint="default" w:ascii="方正仿宋_GBK" w:hAnsi="方正仿宋_GBK" w:eastAsia="方正仿宋_GBK" w:cs="方正仿宋_GBK"/>
          <w:color w:val="000000"/>
          <w:kern w:val="0"/>
          <w:sz w:val="32"/>
          <w:szCs w:val="32"/>
        </w:rPr>
        <w:t>不超过</w:t>
      </w:r>
      <w:r>
        <w:rPr>
          <w:rFonts w:hint="eastAsia" w:ascii="方正仿宋_GBK" w:hAnsi="方正仿宋_GBK" w:eastAsia="方正仿宋_GBK" w:cs="方正仿宋_GBK"/>
          <w:color w:val="000000"/>
          <w:kern w:val="0"/>
          <w:sz w:val="32"/>
          <w:szCs w:val="32"/>
        </w:rPr>
        <w:t>1000万元。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七、对揭榜方要求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lang w:eastAsia="zh-CN"/>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项目需求</w:t>
      </w:r>
      <w:r>
        <w:rPr>
          <w:rFonts w:hint="eastAsia" w:ascii="方正黑体_GBK" w:hAnsi="方正黑体_GBK" w:eastAsia="方正黑体_GBK" w:cs="方正黑体_GBK"/>
          <w:sz w:val="32"/>
          <w:szCs w:val="32"/>
          <w:lang w:val="en-US" w:eastAsia="zh-CN"/>
        </w:rPr>
        <w:t>7</w:t>
      </w:r>
      <w:r>
        <w:rPr>
          <w:rFonts w:hint="eastAsia" w:ascii="方正黑体_GBK" w:hAnsi="方正黑体_GBK" w:eastAsia="方正黑体_GBK" w:cs="方正黑体_GBK"/>
          <w:sz w:val="32"/>
          <w:szCs w:val="32"/>
          <w:lang w:eastAsia="zh-CN"/>
        </w:rPr>
        <w:t>：新疆核桃焦叶症发生机制及综合防控技术</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研究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rPr>
        <w:t>一、</w:t>
      </w:r>
      <w:r>
        <w:rPr>
          <w:rFonts w:hint="default" w:ascii="Times New Roman" w:hAnsi="Times New Roman" w:eastAsia="方正黑体_GBK" w:cs="Times New Roman"/>
          <w:sz w:val="32"/>
          <w:szCs w:val="32"/>
          <w:lang w:eastAsia="zh-CN"/>
        </w:rPr>
        <w:t>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自治区林业有害生物防治检疫局</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default" w:ascii="Times New Roman" w:hAnsi="Times New Roman" w:eastAsia="方正仿宋_GBK" w:cs="Times New Roman"/>
          <w:sz w:val="32"/>
          <w:szCs w:val="32"/>
          <w:lang w:eastAsia="zh-CN"/>
        </w:rPr>
        <w:t>项目专员：王岩（</w:t>
      </w:r>
      <w:r>
        <w:rPr>
          <w:rFonts w:hint="default" w:ascii="Times New Roman" w:hAnsi="Times New Roman" w:eastAsia="方正仿宋_GBK" w:cs="Times New Roman"/>
          <w:sz w:val="32"/>
          <w:szCs w:val="32"/>
          <w:lang w:val="en-US" w:eastAsia="zh-CN"/>
        </w:rPr>
        <w:t>18699136136</w:t>
      </w:r>
      <w:r>
        <w:rPr>
          <w:rFonts w:hint="default" w:ascii="Times New Roman" w:hAnsi="Times New Roman" w:eastAsia="方正仿宋_GBK" w:cs="Times New Roman"/>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二、需求内容及</w:t>
      </w:r>
      <w:r>
        <w:rPr>
          <w:rFonts w:hint="default" w:ascii="Times New Roman" w:hAnsi="Times New Roman" w:eastAsia="方正黑体_GBK" w:cs="Times New Roman"/>
          <w:sz w:val="32"/>
          <w:szCs w:val="32"/>
        </w:rPr>
        <w:t>技术指标</w:t>
      </w:r>
      <w:r>
        <w:rPr>
          <w:rFonts w:hint="default" w:ascii="Times New Roman" w:hAnsi="Times New Roman" w:eastAsia="方正黑体_GBK" w:cs="Times New Roman"/>
          <w:sz w:val="32"/>
          <w:szCs w:val="32"/>
          <w:lang w:eastAsia="zh-CN"/>
        </w:rPr>
        <w:t>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lang w:eastAsia="zh-CN"/>
        </w:rPr>
        <w:t>建立核桃焦叶症的精准快速诊断技术体系1套，实现基于近地遥感的核桃焦叶症发生和严重程度的定量化分等定级与监测预警，判别精度达80%以上。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lang w:eastAsia="zh-CN"/>
        </w:rPr>
        <w:t>研制自主知识产权的高效防控制剂2种及其配套生产技术2套。小试园防控效果达到90%以上；中试园防控效果达到80%以上，项目期内防控成本控制在年均每亩100元以内，平均亩产量提高10%以上。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lang w:eastAsia="zh-CN"/>
        </w:rPr>
        <w:t>建立核桃焦叶症典型发生区精准防控技术方案2-3个，形成高效综合防控技术规程1套；培养硕、博士研究生6-10名，培训人员500人次以上。</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三</w:t>
      </w:r>
      <w:r>
        <w:rPr>
          <w:rFonts w:hint="default" w:ascii="Times New Roman" w:hAnsi="Times New Roman" w:eastAsia="方正黑体_GBK" w:cs="Times New Roman"/>
          <w:sz w:val="32"/>
          <w:szCs w:val="32"/>
        </w:rPr>
        <w:t>、</w:t>
      </w:r>
      <w:r>
        <w:rPr>
          <w:rFonts w:hint="default" w:ascii="Times New Roman" w:hAnsi="Times New Roman" w:eastAsia="方正黑体_GBK" w:cs="Times New Roman"/>
          <w:sz w:val="32"/>
          <w:szCs w:val="32"/>
          <w:lang w:eastAsia="zh-CN"/>
        </w:rPr>
        <w:t>预期</w:t>
      </w:r>
      <w:r>
        <w:rPr>
          <w:rFonts w:hint="default" w:ascii="Times New Roman" w:hAnsi="Times New Roman" w:eastAsia="方正黑体_GBK" w:cs="Times New Roman"/>
          <w:sz w:val="32"/>
          <w:szCs w:val="32"/>
        </w:rPr>
        <w:t>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仿宋" w:cs="Times New Roman"/>
          <w:sz w:val="32"/>
          <w:szCs w:val="32"/>
        </w:rPr>
      </w:pPr>
      <w:r>
        <w:rPr>
          <w:rFonts w:hint="default" w:ascii="Times New Roman" w:hAnsi="Times New Roman" w:eastAsia="仿宋_GB2312" w:cs="Times New Roman"/>
          <w:color w:val="000000"/>
          <w:kern w:val="0"/>
          <w:sz w:val="32"/>
          <w:szCs w:val="32"/>
        </w:rPr>
        <w:t>建立核桃焦叶症的精准快速诊断技术体系</w:t>
      </w:r>
      <w:r>
        <w:rPr>
          <w:rFonts w:hint="eastAsia" w:ascii="Times New Roman" w:hAnsi="Times New Roman" w:eastAsia="仿宋_GB2312" w:cs="Times New Roman"/>
          <w:color w:val="000000"/>
          <w:kern w:val="0"/>
          <w:sz w:val="32"/>
          <w:szCs w:val="32"/>
          <w:lang w:eastAsia="zh-CN"/>
        </w:rPr>
        <w:t>，</w:t>
      </w:r>
      <w:r>
        <w:rPr>
          <w:rFonts w:hint="eastAsia" w:ascii="Times New Roman" w:hAnsi="Times New Roman" w:eastAsia="仿宋_GB2312"/>
          <w:color w:val="000000"/>
          <w:kern w:val="0"/>
          <w:sz w:val="32"/>
          <w:szCs w:val="32"/>
        </w:rPr>
        <w:t>研制</w:t>
      </w:r>
      <w:r>
        <w:rPr>
          <w:rFonts w:hint="default" w:ascii="Times New Roman" w:hAnsi="Times New Roman" w:eastAsia="仿宋_GB2312" w:cs="Times New Roman"/>
          <w:color w:val="000000"/>
          <w:kern w:val="0"/>
          <w:sz w:val="32"/>
          <w:szCs w:val="32"/>
        </w:rPr>
        <w:t>自主知识产权的高效防控制剂及其配套生产技术</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仿宋_GB2312" w:cs="Times New Roman"/>
          <w:color w:val="000000"/>
          <w:kern w:val="0"/>
          <w:sz w:val="32"/>
          <w:szCs w:val="32"/>
        </w:rPr>
        <w:t>建立核桃焦叶症典型发生区精准防</w:t>
      </w:r>
      <w:r>
        <w:rPr>
          <w:rFonts w:hint="eastAsia" w:ascii="Times New Roman" w:hAnsi="Times New Roman" w:eastAsia="仿宋_GB2312"/>
          <w:color w:val="000000"/>
          <w:kern w:val="0"/>
          <w:sz w:val="32"/>
          <w:szCs w:val="32"/>
        </w:rPr>
        <w:t>控技术</w:t>
      </w:r>
      <w:r>
        <w:rPr>
          <w:rFonts w:hint="default" w:ascii="Times New Roman" w:hAnsi="Times New Roman" w:eastAsia="仿宋_GB2312" w:cs="Times New Roman"/>
          <w:color w:val="000000"/>
          <w:kern w:val="0"/>
          <w:sz w:val="32"/>
          <w:szCs w:val="32"/>
        </w:rPr>
        <w:t>方案，形成高效综合防控技术规程</w:t>
      </w:r>
      <w:r>
        <w:rPr>
          <w:rFonts w:hint="eastAsia" w:ascii="Times New Roman" w:hAnsi="Times New Roman" w:eastAsia="仿宋_GB2312" w:cs="Times New Roman"/>
          <w:color w:val="000000"/>
          <w:kern w:val="0"/>
          <w:sz w:val="32"/>
          <w:szCs w:val="32"/>
          <w:lang w:eastAsia="zh-CN"/>
        </w:rPr>
        <w:t>，</w:t>
      </w:r>
      <w:r>
        <w:rPr>
          <w:rFonts w:hint="default" w:ascii="Times New Roman" w:hAnsi="Times New Roman" w:eastAsia="方正仿宋_GBK" w:cs="Times New Roman"/>
          <w:sz w:val="32"/>
          <w:szCs w:val="32"/>
          <w:lang w:eastAsia="zh-CN"/>
        </w:rPr>
        <w:t>申请国家发明专利3件，授权软件著作权3项，发表学术论文8篇，出版著作1部</w:t>
      </w:r>
      <w:r>
        <w:rPr>
          <w:rFonts w:hint="eastAsia" w:ascii="Times New Roman" w:hAnsi="Times New Roman" w:eastAsia="仿宋_GB2312"/>
          <w:color w:val="000000"/>
          <w:kern w:val="0"/>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四</w:t>
      </w:r>
      <w:r>
        <w:rPr>
          <w:rFonts w:hint="default" w:ascii="Times New Roman" w:hAnsi="Times New Roman" w:eastAsia="方正黑体_GBK" w:cs="Times New Roman"/>
          <w:sz w:val="32"/>
          <w:szCs w:val="32"/>
        </w:rPr>
        <w:t>、交付条件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default" w:ascii="Times New Roman" w:hAnsi="Times New Roman" w:eastAsia="方正仿宋_GBK" w:cs="Times New Roman"/>
          <w:sz w:val="32"/>
          <w:szCs w:val="32"/>
          <w:lang w:eastAsia="zh-CN"/>
        </w:rPr>
      </w:pPr>
      <w:r>
        <w:rPr>
          <w:rFonts w:hint="eastAsia" w:ascii="Times New Roman" w:hAnsi="Times New Roman" w:eastAsia="仿宋" w:cs="Times New Roman"/>
          <w:sz w:val="32"/>
          <w:szCs w:val="32"/>
          <w:lang w:val="en-US" w:eastAsia="zh-CN"/>
        </w:rPr>
        <w:t>以上述任务列出的技术指标和成果形式作为验收的主要依据，</w:t>
      </w:r>
      <w:r>
        <w:rPr>
          <w:rFonts w:hint="default" w:ascii="Times New Roman" w:hAnsi="Times New Roman" w:eastAsia="仿宋" w:cs="Times New Roman"/>
          <w:sz w:val="32"/>
          <w:szCs w:val="32"/>
          <w:lang w:eastAsia="zh-CN"/>
        </w:rPr>
        <w:t>涉及防控的技术标准、技术规程等成果</w:t>
      </w:r>
      <w:r>
        <w:rPr>
          <w:rFonts w:hint="default" w:ascii="Times New Roman" w:hAnsi="Times New Roman" w:eastAsia="方正仿宋_GBK" w:cs="Times New Roman"/>
          <w:sz w:val="32"/>
          <w:szCs w:val="32"/>
          <w:lang w:eastAsia="zh-CN"/>
        </w:rPr>
        <w:t>完成小试、中试实验及示范推广验证，达到果园生产推广应用水平，</w:t>
      </w:r>
      <w:r>
        <w:rPr>
          <w:rFonts w:hint="eastAsia" w:ascii="Times New Roman" w:hAnsi="Times New Roman" w:eastAsia="方正仿宋_GBK" w:cs="Times New Roman"/>
          <w:sz w:val="32"/>
          <w:szCs w:val="32"/>
          <w:lang w:val="en-US" w:eastAsia="zh-CN"/>
        </w:rPr>
        <w:t>并</w:t>
      </w:r>
      <w:r>
        <w:rPr>
          <w:rFonts w:hint="default" w:ascii="Times New Roman" w:hAnsi="Times New Roman" w:eastAsia="仿宋" w:cs="Times New Roman"/>
          <w:sz w:val="32"/>
          <w:szCs w:val="32"/>
        </w:rPr>
        <w:t>通过现场</w:t>
      </w:r>
      <w:r>
        <w:rPr>
          <w:rFonts w:hint="default" w:ascii="Times New Roman" w:hAnsi="Times New Roman" w:eastAsia="仿宋" w:cs="Times New Roman"/>
          <w:sz w:val="32"/>
          <w:szCs w:val="32"/>
          <w:lang w:eastAsia="zh-CN"/>
        </w:rPr>
        <w:t>勘验</w:t>
      </w:r>
      <w:r>
        <w:rPr>
          <w:rFonts w:hint="default" w:ascii="Times New Roman" w:hAnsi="Times New Roman" w:eastAsia="仿宋" w:cs="Times New Roman"/>
          <w:sz w:val="32"/>
          <w:szCs w:val="32"/>
        </w:rPr>
        <w:t>且达到预期效果。</w:t>
      </w:r>
      <w:r>
        <w:rPr>
          <w:rFonts w:hint="eastAsia" w:ascii="Times New Roman" w:hAnsi="Times New Roman" w:eastAsia="仿宋" w:cs="Times New Roman"/>
          <w:sz w:val="32"/>
          <w:szCs w:val="32"/>
          <w:lang w:val="en-US" w:eastAsia="zh-CN"/>
        </w:rPr>
        <w:t>申请的发明专利应取得受理通知书，项目研究报告应通过技术专家联合评审</w:t>
      </w:r>
      <w:r>
        <w:rPr>
          <w:rFonts w:hint="default" w:ascii="Times New Roman" w:hAnsi="Times New Roman" w:eastAsia="仿宋" w:cs="Times New Roman"/>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lang w:eastAsia="zh-CN"/>
        </w:rPr>
      </w:pPr>
      <w:r>
        <w:rPr>
          <w:rFonts w:hint="default" w:ascii="Times New Roman" w:hAnsi="Times New Roman" w:eastAsia="方正黑体_GBK" w:cs="Times New Roman"/>
          <w:sz w:val="32"/>
          <w:szCs w:val="32"/>
          <w:lang w:eastAsia="zh-CN"/>
        </w:rPr>
        <w:t>五</w:t>
      </w:r>
      <w:r>
        <w:rPr>
          <w:rFonts w:hint="default" w:ascii="Times New Roman" w:hAnsi="Times New Roman" w:eastAsia="方正黑体_GBK" w:cs="Times New Roman"/>
          <w:sz w:val="32"/>
          <w:szCs w:val="32"/>
        </w:rPr>
        <w:t>、项目实施周期及</w:t>
      </w:r>
      <w:r>
        <w:rPr>
          <w:rFonts w:hint="default" w:ascii="Times New Roman" w:hAnsi="Times New Roman" w:eastAsia="方正黑体_GBK" w:cs="Times New Roman"/>
          <w:sz w:val="32"/>
          <w:szCs w:val="32"/>
          <w:lang w:eastAsia="zh-CN"/>
        </w:rPr>
        <w:t>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color w:val="000000"/>
          <w:kern w:val="0"/>
          <w:sz w:val="32"/>
          <w:szCs w:val="32"/>
        </w:rPr>
        <w:t>项目实施周期为3年；</w:t>
      </w:r>
      <w:r>
        <w:rPr>
          <w:rFonts w:hint="eastAsia" w:ascii="方正仿宋_GBK" w:hAnsi="方正仿宋_GBK" w:eastAsia="方正仿宋_GBK" w:cs="方正仿宋_GBK"/>
          <w:sz w:val="32"/>
          <w:szCs w:val="32"/>
        </w:rPr>
        <w:t>揭榜金额</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sz w:val="32"/>
          <w:szCs w:val="32"/>
        </w:rPr>
        <w:t>850万元</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Times New Roman" w:hAnsi="Times New Roman" w:eastAsia="方正黑体_GBK" w:cs="Times New Roman"/>
          <w:sz w:val="32"/>
          <w:szCs w:val="32"/>
        </w:rPr>
      </w:pPr>
      <w:r>
        <w:rPr>
          <w:rFonts w:hint="default" w:ascii="Times New Roman" w:hAnsi="Times New Roman" w:eastAsia="方正黑体_GBK" w:cs="Times New Roman"/>
          <w:sz w:val="32"/>
          <w:szCs w:val="32"/>
          <w:lang w:eastAsia="zh-CN"/>
        </w:rPr>
        <w:t>六</w:t>
      </w:r>
      <w:r>
        <w:rPr>
          <w:rFonts w:hint="default" w:ascii="Times New Roman" w:hAnsi="Times New Roman" w:eastAsia="方正黑体_GBK" w:cs="Times New Roman"/>
          <w:sz w:val="32"/>
          <w:szCs w:val="32"/>
        </w:rPr>
        <w:t>、对揭榜方的要求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58" w:leftChars="304" w:hanging="1920" w:hangingChars="6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8</w:t>
      </w:r>
      <w:r>
        <w:rPr>
          <w:rFonts w:hint="eastAsia" w:ascii="方正黑体_GBK" w:hAnsi="方正黑体_GBK" w:eastAsia="方正黑体_GBK" w:cs="方正黑体_GBK"/>
          <w:sz w:val="32"/>
          <w:szCs w:val="32"/>
        </w:rPr>
        <w:t>：抗除草剂玉米自交系HX-025的配制与应用</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新疆华夏农业有限公司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项目专员：陈彦宏（15009928181）、</w:t>
      </w:r>
      <w:r>
        <w:rPr>
          <w:rFonts w:hint="eastAsia" w:ascii="方正仿宋_GBK" w:eastAsia="方正仿宋_GBK"/>
          <w:sz w:val="32"/>
          <w:szCs w:val="32"/>
          <w:lang w:val="en-US" w:eastAsia="zh-Hans"/>
        </w:rPr>
        <w:t>张亚男</w:t>
      </w:r>
      <w:r>
        <w:rPr>
          <w:rFonts w:hint="eastAsia" w:ascii="方正仿宋_GBK" w:eastAsia="方正仿宋_GBK"/>
          <w:sz w:val="32"/>
          <w:szCs w:val="32"/>
        </w:rPr>
        <w:t>（19945818100）</w:t>
      </w:r>
    </w:p>
    <w:p>
      <w:pPr>
        <w:keepNext w:val="0"/>
        <w:keepLines w:val="0"/>
        <w:pageBreakBefore w:val="0"/>
        <w:numPr>
          <w:ilvl w:val="0"/>
          <w:numId w:val="2"/>
        </w:numPr>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需求内容及技术指标要求</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融合Cas9，同时优化sgRNA表达骨架，研发获得可以对玉米内源多个靶位点同时编辑的CBE和ABE碱基编辑技术体系。</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针对玉米内源基因ALS1/2的除草剂抗性位点，设计基于Cas9的靶向RNA，研发获得对ZmALS1和ZmALS2靶向位点同时编辑的碱基编辑技术体系。</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以亲本自交系为受体，通过农杆菌介导的稳定遗传转化，检测获得多个独立的T0阳性转化体</w:t>
      </w:r>
      <w:r>
        <w:rPr>
          <w:rFonts w:hint="default"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rPr>
        <w:t>获得目标碱基编辑的材料。基因编辑效率应高于15%。</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4.</w:t>
      </w:r>
      <w:r>
        <w:rPr>
          <w:rFonts w:hint="eastAsia" w:ascii="方正仿宋_GBK" w:hAnsi="方正仿宋_GBK" w:eastAsia="方正仿宋_GBK" w:cs="方正仿宋_GBK"/>
          <w:color w:val="000000"/>
          <w:kern w:val="0"/>
          <w:sz w:val="32"/>
          <w:szCs w:val="32"/>
        </w:rPr>
        <w:t>鉴定T0、T1代靶基因，稳定遗传突变频率达到90%的先进水平或以上。</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5.</w:t>
      </w:r>
      <w:r>
        <w:rPr>
          <w:rFonts w:hint="eastAsia" w:ascii="方正仿宋_GBK" w:hAnsi="方正仿宋_GBK" w:eastAsia="方正仿宋_GBK" w:cs="方正仿宋_GBK"/>
          <w:color w:val="000000"/>
          <w:kern w:val="0"/>
          <w:sz w:val="32"/>
          <w:szCs w:val="32"/>
        </w:rPr>
        <w:t>鉴定遗传改良版自交系除草剂抗性水平</w:t>
      </w:r>
      <w:r>
        <w:rPr>
          <w:rFonts w:hint="default" w:ascii="方正仿宋_GBK" w:hAnsi="方正仿宋_GBK" w:eastAsia="方正仿宋_GBK" w:cs="方正仿宋_GBK"/>
          <w:color w:val="000000"/>
          <w:kern w:val="0"/>
          <w:sz w:val="32"/>
          <w:szCs w:val="32"/>
        </w:rPr>
        <w:t>，</w:t>
      </w:r>
      <w:r>
        <w:rPr>
          <w:rFonts w:hint="eastAsia" w:ascii="方正仿宋_GBK" w:hAnsi="方正仿宋_GBK" w:eastAsia="方正仿宋_GBK" w:cs="方正仿宋_GBK"/>
          <w:color w:val="000000"/>
          <w:kern w:val="0"/>
          <w:sz w:val="32"/>
          <w:szCs w:val="32"/>
        </w:rPr>
        <w:t>获得农业生产除草剂推荐剂量上限的3倍以上的株系作为改良版亲本。</w:t>
      </w:r>
    </w:p>
    <w:p>
      <w:pPr>
        <w:keepNext w:val="0"/>
        <w:keepLines w:val="0"/>
        <w:pageBreakBefore w:val="0"/>
        <w:kinsoku/>
        <w:wordWrap/>
        <w:overflowPunct/>
        <w:topLinePunct w:val="0"/>
        <w:autoSpaceDE/>
        <w:autoSpaceDN/>
        <w:bidi w:val="0"/>
        <w:adjustRightInd/>
        <w:snapToGrid w:val="0"/>
        <w:spacing w:line="500" w:lineRule="exact"/>
        <w:ind w:firstLine="640" w:firstLineChars="200"/>
        <w:textAlignment w:val="auto"/>
        <w:rPr>
          <w:rFonts w:ascii="方正黑体_GBK" w:hAnsi="方正黑体_GBK" w:eastAsia="方正黑体_GBK" w:cs="方正黑体_GBK"/>
          <w:sz w:val="32"/>
          <w:szCs w:val="32"/>
        </w:rPr>
      </w:pPr>
      <w:r>
        <w:rPr>
          <w:rFonts w:hint="eastAsia" w:ascii="方正仿宋_GBK" w:hAnsi="方正仿宋_GBK" w:eastAsia="方正仿宋_GBK" w:cs="方正仿宋_GBK"/>
          <w:color w:val="000000"/>
          <w:kern w:val="0"/>
          <w:sz w:val="32"/>
          <w:szCs w:val="32"/>
          <w:lang w:val="en-US" w:eastAsia="zh-CN"/>
        </w:rPr>
        <w:t>6.</w:t>
      </w:r>
      <w:r>
        <w:rPr>
          <w:rFonts w:hint="eastAsia" w:ascii="方正仿宋_GBK" w:hAnsi="方正仿宋_GBK" w:eastAsia="方正仿宋_GBK" w:cs="方正仿宋_GBK"/>
          <w:color w:val="000000"/>
          <w:kern w:val="0"/>
          <w:sz w:val="32"/>
          <w:szCs w:val="32"/>
        </w:rPr>
        <w:t>改良版品种与原始品种遗传背景相似度9</w:t>
      </w:r>
      <w:r>
        <w:rPr>
          <w:rFonts w:ascii="方正仿宋_GBK" w:hAnsi="方正仿宋_GBK" w:eastAsia="方正仿宋_GBK" w:cs="方正仿宋_GBK"/>
          <w:color w:val="000000"/>
          <w:kern w:val="0"/>
          <w:sz w:val="32"/>
          <w:szCs w:val="32"/>
        </w:rPr>
        <w:t>8%</w:t>
      </w:r>
      <w:r>
        <w:rPr>
          <w:rFonts w:hint="eastAsia" w:ascii="方正仿宋_GBK" w:hAnsi="方正仿宋_GBK" w:eastAsia="方正仿宋_GBK" w:cs="方正仿宋_GBK"/>
          <w:color w:val="000000"/>
          <w:kern w:val="0"/>
          <w:sz w:val="32"/>
          <w:szCs w:val="32"/>
        </w:rPr>
        <w:t>以上，其它综合农艺性状与原始品种相比无明显差异。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1.</w:t>
      </w:r>
      <w:r>
        <w:rPr>
          <w:rFonts w:hint="eastAsia" w:ascii="方正仿宋_GBK" w:hAnsi="方正仿宋_GBK" w:eastAsia="方正仿宋_GBK" w:cs="方正仿宋_GBK"/>
          <w:color w:val="000000"/>
          <w:kern w:val="0"/>
          <w:sz w:val="32"/>
          <w:szCs w:val="32"/>
        </w:rPr>
        <w:t>建立高效碱基基因编辑技术体系，包括实现定向C-T的CBE碱基编辑体系，及A-G的ABE碱基编辑体系。靶向编辑玉米抗除草剂基因靶向编辑ZmALS1和ZmALS2，创制磺酰脲类除草剂抗性玉米材料，农业生产除草剂推荐剂量上限的3倍以上的株系。</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仿宋_GBK" w:hAnsi="方正仿宋_GBK" w:eastAsia="方正仿宋_GBK" w:cs="方正仿宋_GBK"/>
          <w:color w:val="000000"/>
          <w:kern w:val="0"/>
          <w:sz w:val="32"/>
          <w:szCs w:val="32"/>
        </w:rPr>
      </w:pPr>
      <w:r>
        <w:rPr>
          <w:rFonts w:hint="eastAsia" w:ascii="方正仿宋_GBK" w:hAnsi="方正仿宋_GBK" w:eastAsia="方正仿宋_GBK" w:cs="方正仿宋_GBK"/>
          <w:color w:val="000000"/>
          <w:kern w:val="0"/>
          <w:sz w:val="32"/>
          <w:szCs w:val="32"/>
          <w:lang w:val="en-US" w:eastAsia="zh-CN"/>
        </w:rPr>
        <w:t>2.</w:t>
      </w:r>
      <w:r>
        <w:rPr>
          <w:rFonts w:hint="eastAsia" w:ascii="方正仿宋_GBK" w:hAnsi="方正仿宋_GBK" w:eastAsia="方正仿宋_GBK" w:cs="方正仿宋_GBK"/>
          <w:color w:val="000000"/>
          <w:kern w:val="0"/>
          <w:sz w:val="32"/>
          <w:szCs w:val="32"/>
        </w:rPr>
        <w:t>利用筛选出的抗除草剂株系转育玉米优良种质或品种亲本，创制不含转基因元件，除草剂抗性水平高，配合力好，农艺性状优良的新种质和亲本自交系。</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黑体_GBK" w:hAnsi="方正黑体_GBK" w:eastAsia="方正黑体_GBK" w:cs="方正黑体_GBK"/>
          <w:sz w:val="32"/>
          <w:szCs w:val="32"/>
        </w:rPr>
      </w:pPr>
      <w:r>
        <w:rPr>
          <w:rFonts w:hint="eastAsia" w:ascii="方正仿宋_GBK" w:hAnsi="方正仿宋_GBK" w:eastAsia="方正仿宋_GBK" w:cs="方正仿宋_GBK"/>
          <w:color w:val="000000"/>
          <w:kern w:val="0"/>
          <w:sz w:val="32"/>
          <w:szCs w:val="32"/>
          <w:lang w:val="en-US" w:eastAsia="zh-CN"/>
        </w:rPr>
        <w:t>3.</w:t>
      </w:r>
      <w:r>
        <w:rPr>
          <w:rFonts w:hint="eastAsia" w:ascii="方正仿宋_GBK" w:hAnsi="方正仿宋_GBK" w:eastAsia="方正仿宋_GBK" w:cs="方正仿宋_GBK"/>
          <w:color w:val="000000"/>
          <w:kern w:val="0"/>
          <w:sz w:val="32"/>
          <w:szCs w:val="32"/>
        </w:rPr>
        <w:t>利用转育的抗除草剂新种质和亲本自交系，组配优良组合，开展多点组合鉴定，创制高产、稳产、高抗除草剂的玉米新品种。</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建立抗磺酰脲类除草剂高效碱基基因编辑技术体系，基因编辑效率应高于15%，稳定遗传突变频率达到90%或以上，达到国际先进技术水平。</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创制磺酰脲类除草剂抗性玉米材料，获得农业生产除草剂推荐剂量上限的3倍以上的抗性株系。</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创制高抗磺酰脲类除草剂的玉米新种质10份，</w:t>
      </w:r>
      <w:r>
        <w:rPr>
          <w:rFonts w:ascii="方正仿宋_GBK" w:eastAsia="方正仿宋_GBK"/>
          <w:sz w:val="32"/>
          <w:szCs w:val="32"/>
        </w:rPr>
        <w:t>改良亲本自交系</w:t>
      </w:r>
      <w:r>
        <w:rPr>
          <w:rFonts w:hint="eastAsia" w:ascii="方正仿宋_GBK" w:eastAsia="方正仿宋_GBK"/>
          <w:sz w:val="32"/>
          <w:szCs w:val="32"/>
        </w:rPr>
        <w:t>4个，高产、稳产、高抗除草剂</w:t>
      </w:r>
      <w:r>
        <w:rPr>
          <w:rFonts w:ascii="方正仿宋_GBK" w:eastAsia="方正仿宋_GBK"/>
          <w:sz w:val="32"/>
          <w:szCs w:val="32"/>
        </w:rPr>
        <w:t>新品种</w:t>
      </w:r>
      <w:r>
        <w:rPr>
          <w:rFonts w:hint="eastAsia" w:ascii="方正仿宋_GBK" w:eastAsia="方正仿宋_GBK"/>
          <w:sz w:val="32"/>
          <w:szCs w:val="32"/>
        </w:rPr>
        <w:t>2个。</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项目实施周期为3年；揭榜金额</w:t>
      </w:r>
      <w:r>
        <w:rPr>
          <w:rFonts w:hint="eastAsia" w:ascii="方正仿宋_GBK" w:eastAsia="方正仿宋_GBK"/>
          <w:sz w:val="32"/>
          <w:szCs w:val="32"/>
          <w:lang w:eastAsia="zh-CN"/>
        </w:rPr>
        <w:t>不超过</w:t>
      </w:r>
      <w:r>
        <w:rPr>
          <w:rFonts w:hint="eastAsia" w:ascii="方正仿宋_GBK" w:eastAsia="方正仿宋_GBK"/>
          <w:sz w:val="32"/>
          <w:szCs w:val="32"/>
        </w:rPr>
        <w:t>450万元。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58" w:leftChars="304" w:hanging="1920" w:hangingChars="600"/>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9</w:t>
      </w:r>
      <w:r>
        <w:rPr>
          <w:rFonts w:hint="eastAsia" w:ascii="方正黑体_GBK" w:hAnsi="方正黑体_GBK" w:eastAsia="方正黑体_GBK" w:cs="方正黑体_GBK"/>
          <w:sz w:val="32"/>
          <w:szCs w:val="32"/>
        </w:rPr>
        <w:t>：农田残膜高质高效机械化回收技术研发与装备应用</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rPr>
        <w:t>一、</w:t>
      </w:r>
      <w:r>
        <w:rPr>
          <w:rFonts w:hint="eastAsia" w:ascii="方正黑体_GBK" w:hAnsi="方正黑体_GBK" w:eastAsia="方正黑体_GBK" w:cs="方正黑体_GBK"/>
          <w:sz w:val="32"/>
          <w:szCs w:val="32"/>
          <w:lang w:eastAsia="zh-CN"/>
        </w:rPr>
        <w:t>需求单位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default" w:ascii="方正仿宋_GBK" w:eastAsia="方正仿宋_GBK"/>
          <w:sz w:val="32"/>
          <w:szCs w:val="32"/>
          <w:lang w:val="en-US" w:eastAsia="zh-CN"/>
        </w:rPr>
      </w:pPr>
      <w:r>
        <w:rPr>
          <w:rFonts w:hint="eastAsia" w:ascii="方正仿宋_GBK" w:eastAsia="方正仿宋_GBK"/>
          <w:sz w:val="32"/>
          <w:szCs w:val="32"/>
          <w:lang w:eastAsia="zh-CN"/>
        </w:rPr>
        <w:t>新疆维吾尔自治区农业农村机械化发展中心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项目专员：</w:t>
      </w:r>
      <w:r>
        <w:rPr>
          <w:rFonts w:hint="eastAsia" w:ascii="方正仿宋_GBK" w:eastAsia="方正仿宋_GBK"/>
          <w:sz w:val="32"/>
          <w:szCs w:val="32"/>
          <w:lang w:val="en-US" w:eastAsia="zh-CN"/>
        </w:rPr>
        <w:t>刘晨（13899871530）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需求内容及</w:t>
      </w:r>
      <w:r>
        <w:rPr>
          <w:rFonts w:hint="eastAsia" w:ascii="方正黑体_GBK" w:hAnsi="方正黑体_GBK" w:eastAsia="方正黑体_GBK" w:cs="方正黑体_GBK"/>
          <w:sz w:val="32"/>
          <w:szCs w:val="32"/>
        </w:rPr>
        <w:t>技术指标</w:t>
      </w:r>
      <w:r>
        <w:rPr>
          <w:rFonts w:hint="eastAsia" w:ascii="方正黑体_GBK" w:hAnsi="方正黑体_GBK" w:eastAsia="方正黑体_GBK" w:cs="方正黑体_GBK"/>
          <w:sz w:val="32"/>
          <w:szCs w:val="32"/>
          <w:lang w:eastAsia="zh-CN"/>
        </w:rPr>
        <w:t>要求</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耕前残膜回收机优化改进。使用的地膜符合</w:t>
      </w:r>
      <w:r>
        <w:rPr>
          <w:rFonts w:hint="eastAsia" w:ascii="方正仿宋_GBK" w:eastAsia="方正仿宋_GBK"/>
          <w:sz w:val="32"/>
          <w:szCs w:val="32"/>
          <w:lang w:eastAsia="zh-CN"/>
        </w:rPr>
        <w:t>《</w:t>
      </w:r>
      <w:r>
        <w:rPr>
          <w:rFonts w:hint="eastAsia" w:ascii="方正仿宋_GBK" w:eastAsia="方正仿宋_GBK"/>
          <w:sz w:val="32"/>
          <w:szCs w:val="32"/>
        </w:rPr>
        <w:t>新疆维吾尔自治区农田地膜管理条例</w:t>
      </w:r>
      <w:r>
        <w:rPr>
          <w:rFonts w:hint="eastAsia" w:ascii="方正仿宋_GBK" w:eastAsia="方正仿宋_GBK"/>
          <w:sz w:val="32"/>
          <w:szCs w:val="32"/>
          <w:lang w:eastAsia="zh-CN"/>
        </w:rPr>
        <w:t>》</w:t>
      </w:r>
      <w:r>
        <w:rPr>
          <w:rFonts w:hint="eastAsia" w:ascii="方正仿宋_GBK" w:eastAsia="方正仿宋_GBK"/>
          <w:sz w:val="32"/>
          <w:szCs w:val="32"/>
          <w:lang w:val="en-US" w:eastAsia="zh-CN"/>
        </w:rPr>
        <w:t>要求（本条例所称农田地膜，是指厚度大于0.01毫米、耐候期大于180天，产品的其他指标、参数符合国家规定质量标准的聚乙烯吹塑农田地面覆盖薄膜）</w:t>
      </w:r>
      <w:r>
        <w:rPr>
          <w:rFonts w:hint="eastAsia" w:ascii="方正仿宋_GBK" w:eastAsia="方正仿宋_GBK"/>
          <w:sz w:val="32"/>
          <w:szCs w:val="32"/>
        </w:rPr>
        <w:t>，机具残膜回收率≥87%，作业速度≥6km/h，收回地膜洁净程度</w:t>
      </w:r>
      <w:r>
        <w:rPr>
          <w:rFonts w:hint="eastAsia" w:ascii="方正仿宋_GBK" w:eastAsia="方正仿宋_GBK"/>
          <w:sz w:val="32"/>
          <w:szCs w:val="32"/>
          <w:lang w:val="en-US" w:eastAsia="zh-CN"/>
        </w:rPr>
        <w:t>≥18</w:t>
      </w:r>
      <w:r>
        <w:rPr>
          <w:rFonts w:hint="eastAsia" w:ascii="方正仿宋_GBK" w:eastAsia="方正仿宋_GBK"/>
          <w:sz w:val="32"/>
          <w:szCs w:val="32"/>
        </w:rPr>
        <w:t>%</w:t>
      </w:r>
      <w:r>
        <w:rPr>
          <w:rFonts w:hint="eastAsia" w:ascii="方正仿宋_GBK" w:eastAsia="方正仿宋_GBK"/>
          <w:sz w:val="32"/>
          <w:szCs w:val="32"/>
          <w:lang w:eastAsia="zh-CN"/>
        </w:rPr>
        <w:t>，工作可靠性≥95%</w:t>
      </w:r>
      <w:r>
        <w:rPr>
          <w:rFonts w:hint="eastAsia" w:ascii="方正仿宋_GBK" w:eastAsia="方正仿宋_GBK"/>
          <w:sz w:val="32"/>
          <w:szCs w:val="32"/>
        </w:rPr>
        <w:t>。</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val="en-US" w:eastAsia="zh-CN"/>
        </w:rPr>
      </w:pPr>
      <w:r>
        <w:rPr>
          <w:rFonts w:hint="eastAsia" w:ascii="方正仿宋_GBK" w:eastAsia="方正仿宋_GBK"/>
          <w:sz w:val="32"/>
          <w:szCs w:val="32"/>
          <w:lang w:val="en-US" w:eastAsia="zh-CN"/>
        </w:rPr>
        <w:t>2.</w:t>
      </w:r>
      <w:r>
        <w:rPr>
          <w:rFonts w:hint="eastAsia" w:ascii="方正仿宋_GBK" w:eastAsia="方正仿宋_GBK"/>
          <w:sz w:val="32"/>
          <w:szCs w:val="32"/>
        </w:rPr>
        <w:t>新型耕层残膜回收</w:t>
      </w:r>
      <w:r>
        <w:rPr>
          <w:rFonts w:hint="eastAsia" w:ascii="方正仿宋_GBK" w:eastAsia="方正仿宋_GBK"/>
          <w:sz w:val="32"/>
          <w:szCs w:val="32"/>
          <w:lang w:val="en-US" w:eastAsia="zh-CN"/>
        </w:rPr>
        <w:t>机</w:t>
      </w:r>
      <w:r>
        <w:rPr>
          <w:rFonts w:hint="eastAsia" w:ascii="方正仿宋_GBK" w:eastAsia="方正仿宋_GBK"/>
          <w:sz w:val="32"/>
          <w:szCs w:val="32"/>
        </w:rPr>
        <w:t>的研究与示范应用。使用的地膜符合《新疆维吾尔自治区农田地膜管理条例》要求（本条例所称农田地膜，是指厚度大于0.01毫米、耐候期大于180天，产品的其他指标、参数符合国家规定质量标准的聚乙烯吹塑农田地面覆盖薄膜），工作幅宽≥2m，作业深度</w:t>
      </w:r>
      <w:r>
        <w:rPr>
          <w:rFonts w:hint="eastAsia" w:ascii="方正仿宋_GBK" w:eastAsia="方正仿宋_GBK"/>
          <w:sz w:val="32"/>
          <w:szCs w:val="32"/>
          <w:lang w:val="en-US" w:eastAsia="zh-CN"/>
        </w:rPr>
        <w:t>10</w:t>
      </w:r>
      <w:r>
        <w:rPr>
          <w:rFonts w:hint="eastAsia" w:ascii="方正仿宋_GBK" w:eastAsia="方正仿宋_GBK"/>
          <w:sz w:val="32"/>
          <w:szCs w:val="32"/>
        </w:rPr>
        <w:t>-</w:t>
      </w:r>
      <w:r>
        <w:rPr>
          <w:rFonts w:hint="eastAsia" w:ascii="方正仿宋_GBK" w:eastAsia="方正仿宋_GBK"/>
          <w:sz w:val="32"/>
          <w:szCs w:val="32"/>
          <w:lang w:val="en-US" w:eastAsia="zh-CN"/>
        </w:rPr>
        <w:t>2</w:t>
      </w:r>
      <w:r>
        <w:rPr>
          <w:rFonts w:hint="eastAsia" w:ascii="方正仿宋_GBK" w:eastAsia="方正仿宋_GBK"/>
          <w:sz w:val="32"/>
          <w:szCs w:val="32"/>
        </w:rPr>
        <w:t>0cm，残膜回收率≥</w:t>
      </w:r>
      <w:r>
        <w:rPr>
          <w:rFonts w:hint="eastAsia" w:ascii="方正仿宋_GBK" w:eastAsia="方正仿宋_GBK"/>
          <w:sz w:val="32"/>
          <w:szCs w:val="32"/>
          <w:lang w:val="en-US" w:eastAsia="zh-CN"/>
        </w:rPr>
        <w:t>72</w:t>
      </w:r>
      <w:r>
        <w:rPr>
          <w:rFonts w:hint="eastAsia" w:ascii="方正仿宋_GBK" w:eastAsia="方正仿宋_GBK"/>
          <w:sz w:val="32"/>
          <w:szCs w:val="32"/>
        </w:rPr>
        <w:t>%，工作效率≥5亩/小时，工作可靠性≥90%。</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val="en-US" w:eastAsia="zh-CN"/>
        </w:rPr>
        <w:t>3.</w:t>
      </w:r>
      <w:r>
        <w:rPr>
          <w:rFonts w:hint="eastAsia" w:ascii="方正仿宋_GBK" w:eastAsia="方正仿宋_GBK"/>
          <w:sz w:val="32"/>
          <w:szCs w:val="32"/>
        </w:rPr>
        <w:t>膜杂分离装备的研究示范应用。分离后膜中茎叶、根茬、砂土含量≤5%（可直接造粒），杂中含膜量≤1%。，可靠性≥90%，工作效率≥800kg/h。</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eastAsia="方正仿宋_GBK"/>
          <w:b/>
          <w:bCs/>
          <w:color w:val="FF0000"/>
          <w:sz w:val="32"/>
          <w:szCs w:val="32"/>
          <w:lang w:eastAsia="zh-CN"/>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w:t>
      </w:r>
      <w:r>
        <w:rPr>
          <w:rFonts w:hint="eastAsia" w:ascii="方正黑体_GBK" w:hAnsi="方正黑体_GBK" w:eastAsia="方正黑体_GBK" w:cs="方正黑体_GBK"/>
          <w:sz w:val="32"/>
          <w:szCs w:val="32"/>
          <w:lang w:eastAsia="zh-CN"/>
        </w:rPr>
        <w:t>预期</w:t>
      </w:r>
      <w:r>
        <w:rPr>
          <w:rFonts w:hint="eastAsia" w:ascii="方正黑体_GBK" w:hAnsi="方正黑体_GBK" w:eastAsia="方正黑体_GBK" w:cs="方正黑体_GBK"/>
          <w:sz w:val="32"/>
          <w:szCs w:val="32"/>
        </w:rPr>
        <w:t>成果形式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default" w:ascii="方正仿宋_GBK" w:eastAsia="方正仿宋_GBK"/>
          <w:b w:val="0"/>
          <w:bCs w:val="0"/>
          <w:sz w:val="32"/>
          <w:szCs w:val="32"/>
          <w:lang w:val="en-US" w:eastAsia="zh-CN"/>
        </w:rPr>
      </w:pPr>
      <w:r>
        <w:rPr>
          <w:rFonts w:hint="eastAsia" w:ascii="方正仿宋_GBK" w:eastAsia="方正仿宋_GBK"/>
          <w:b w:val="0"/>
          <w:bCs w:val="0"/>
          <w:sz w:val="32"/>
          <w:szCs w:val="32"/>
          <w:lang w:eastAsia="zh-CN"/>
        </w:rPr>
        <w:t>研发耕前残膜回收机（</w:t>
      </w:r>
      <w:r>
        <w:rPr>
          <w:rFonts w:hint="eastAsia" w:ascii="方正仿宋_GBK" w:eastAsia="方正仿宋_GBK"/>
          <w:b w:val="0"/>
          <w:bCs w:val="0"/>
          <w:sz w:val="32"/>
          <w:szCs w:val="32"/>
          <w:lang w:val="en-US" w:eastAsia="zh-CN"/>
        </w:rPr>
        <w:t>棉花、玉米</w:t>
      </w:r>
      <w:r>
        <w:rPr>
          <w:rFonts w:hint="eastAsia" w:ascii="方正仿宋_GBK" w:eastAsia="方正仿宋_GBK"/>
          <w:b w:val="0"/>
          <w:bCs w:val="0"/>
          <w:sz w:val="32"/>
          <w:szCs w:val="32"/>
          <w:lang w:eastAsia="zh-CN"/>
        </w:rPr>
        <w:t>）、新型耕层残膜回收</w:t>
      </w:r>
      <w:r>
        <w:rPr>
          <w:rFonts w:hint="eastAsia" w:ascii="方正仿宋_GBK" w:eastAsia="方正仿宋_GBK"/>
          <w:b w:val="0"/>
          <w:bCs w:val="0"/>
          <w:sz w:val="32"/>
          <w:szCs w:val="32"/>
          <w:lang w:val="en-US" w:eastAsia="zh-CN"/>
        </w:rPr>
        <w:t>机（棉花、玉米）</w:t>
      </w:r>
      <w:r>
        <w:rPr>
          <w:rFonts w:hint="eastAsia" w:ascii="方正仿宋_GBK" w:eastAsia="方正仿宋_GBK"/>
          <w:b w:val="0"/>
          <w:bCs w:val="0"/>
          <w:sz w:val="32"/>
          <w:szCs w:val="32"/>
          <w:lang w:eastAsia="zh-CN"/>
        </w:rPr>
        <w:t>样机</w:t>
      </w:r>
      <w:r>
        <w:rPr>
          <w:rFonts w:hint="eastAsia" w:ascii="方正仿宋_GBK" w:eastAsia="方正仿宋_GBK"/>
          <w:b w:val="0"/>
          <w:bCs w:val="0"/>
          <w:sz w:val="32"/>
          <w:szCs w:val="32"/>
          <w:lang w:val="en-US" w:eastAsia="zh-CN"/>
        </w:rPr>
        <w:t>2-3台，膜杂分离装备1-2台（套），形成耕前残膜回收、耕层残膜回收、膜杂分离技术解决方案，满足需求内容技术指标参数要求。取得专利，项目成果在生产中实际应用。</w:t>
      </w:r>
    </w:p>
    <w:p>
      <w:pPr>
        <w:keepNext w:val="0"/>
        <w:keepLines w:val="0"/>
        <w:pageBreakBefore w:val="0"/>
        <w:widowControl w:val="0"/>
        <w:numPr>
          <w:ilvl w:val="0"/>
          <w:numId w:val="3"/>
        </w:numPr>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b w:val="0"/>
          <w:bCs w:val="0"/>
          <w:sz w:val="32"/>
          <w:szCs w:val="32"/>
        </w:rPr>
      </w:pPr>
      <w:r>
        <w:rPr>
          <w:rFonts w:hint="eastAsia" w:ascii="方正黑体_GBK" w:hAnsi="方正黑体_GBK" w:eastAsia="方正黑体_GBK" w:cs="方正黑体_GBK"/>
          <w:b w:val="0"/>
          <w:bCs w:val="0"/>
          <w:sz w:val="32"/>
          <w:szCs w:val="32"/>
        </w:rPr>
        <w:t>交付条件</w:t>
      </w:r>
    </w:p>
    <w:p>
      <w:pPr>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eastAsia="方正仿宋_GBK"/>
          <w:sz w:val="32"/>
          <w:szCs w:val="32"/>
          <w:lang w:eastAsia="zh-CN"/>
        </w:rPr>
      </w:pPr>
      <w:r>
        <w:rPr>
          <w:rFonts w:hint="eastAsia" w:ascii="方正仿宋_GBK" w:eastAsia="方正仿宋_GBK"/>
          <w:sz w:val="32"/>
          <w:szCs w:val="32"/>
          <w:lang w:eastAsia="zh-CN"/>
        </w:rPr>
        <w:t>以上述任务列出的技术指标和成果形式作为验收的主要依据。取得专利2-3项，申请发明专利应取得受理通知书；项目成果需转化，形成不少于50台的批量生产能力，在生产中实际应用，耕前残膜回收机示范作业面积≥</w:t>
      </w:r>
      <w:r>
        <w:rPr>
          <w:rFonts w:hint="eastAsia" w:ascii="方正仿宋_GBK" w:eastAsia="方正仿宋_GBK"/>
          <w:sz w:val="32"/>
          <w:szCs w:val="32"/>
          <w:lang w:val="en-US" w:eastAsia="zh-CN"/>
        </w:rPr>
        <w:t>3</w:t>
      </w:r>
      <w:r>
        <w:rPr>
          <w:rFonts w:hint="eastAsia" w:ascii="方正仿宋_GBK" w:eastAsia="方正仿宋_GBK"/>
          <w:sz w:val="32"/>
          <w:szCs w:val="32"/>
          <w:lang w:eastAsia="zh-CN"/>
        </w:rPr>
        <w:t>000亩，耕层残膜回收机示范作业面积≥</w:t>
      </w:r>
      <w:r>
        <w:rPr>
          <w:rFonts w:hint="eastAsia" w:ascii="方正仿宋_GBK" w:eastAsia="方正仿宋_GBK"/>
          <w:sz w:val="32"/>
          <w:szCs w:val="32"/>
          <w:lang w:val="en-US" w:eastAsia="zh-CN"/>
        </w:rPr>
        <w:t>2</w:t>
      </w:r>
      <w:r>
        <w:rPr>
          <w:rFonts w:hint="eastAsia" w:ascii="方正仿宋_GBK" w:eastAsia="方正仿宋_GBK"/>
          <w:sz w:val="32"/>
          <w:szCs w:val="32"/>
          <w:lang w:eastAsia="zh-CN"/>
        </w:rPr>
        <w:t>000亩，并取得机具应用成果证明材料。</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eastAsia="zh-CN"/>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、项目实施周期及</w:t>
      </w:r>
      <w:r>
        <w:rPr>
          <w:rFonts w:hint="eastAsia" w:ascii="方正黑体_GBK" w:hAnsi="方正黑体_GBK" w:eastAsia="方正黑体_GBK" w:cs="方正黑体_GBK"/>
          <w:sz w:val="32"/>
          <w:szCs w:val="32"/>
          <w:lang w:eastAsia="zh-CN"/>
        </w:rPr>
        <w:t>揭榜金额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b/>
          <w:bCs/>
          <w:color w:val="FF0000"/>
          <w:sz w:val="32"/>
          <w:szCs w:val="32"/>
          <w:lang w:eastAsia="zh-CN"/>
        </w:rPr>
      </w:pPr>
      <w:r>
        <w:rPr>
          <w:rFonts w:hint="eastAsia" w:ascii="方正仿宋_GBK" w:eastAsia="方正仿宋_GBK"/>
          <w:sz w:val="32"/>
          <w:szCs w:val="32"/>
          <w:lang w:eastAsia="zh-CN"/>
        </w:rPr>
        <w:t>项目实施周期为</w:t>
      </w:r>
      <w:r>
        <w:rPr>
          <w:rFonts w:hint="eastAsia" w:ascii="方正仿宋_GBK" w:eastAsia="方正仿宋_GBK"/>
          <w:sz w:val="32"/>
          <w:szCs w:val="32"/>
          <w:lang w:val="en-US" w:eastAsia="zh-CN"/>
        </w:rPr>
        <w:t>3</w:t>
      </w:r>
      <w:r>
        <w:rPr>
          <w:rFonts w:hint="eastAsia" w:ascii="方正仿宋_GBK" w:eastAsia="方正仿宋_GBK"/>
          <w:sz w:val="32"/>
          <w:szCs w:val="32"/>
          <w:lang w:eastAsia="zh-CN"/>
        </w:rPr>
        <w:t>年；揭榜金额不超过</w:t>
      </w:r>
      <w:r>
        <w:rPr>
          <w:rFonts w:hint="eastAsia" w:ascii="方正仿宋_GBK" w:eastAsia="方正仿宋_GBK"/>
          <w:sz w:val="32"/>
          <w:szCs w:val="32"/>
          <w:lang w:val="en-US" w:eastAsia="zh-CN"/>
        </w:rPr>
        <w:t>500</w:t>
      </w:r>
      <w:r>
        <w:rPr>
          <w:rFonts w:hint="eastAsia" w:ascii="方正仿宋_GBK" w:eastAsia="方正仿宋_GBK"/>
          <w:sz w:val="32"/>
          <w:szCs w:val="32"/>
          <w:lang w:eastAsia="zh-CN"/>
        </w:rPr>
        <w:t>万元。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lang w:val="en-US" w:eastAsia="zh-CN"/>
        </w:rPr>
        <w:t>六、对揭榜方要求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eastAsia="zh-CN"/>
        </w:rPr>
        <w:t>揭榜方应具有独立的研发团队、配套的科研条件和自主</w:t>
      </w:r>
      <w:r>
        <w:rPr>
          <w:rFonts w:hint="eastAsia" w:ascii="方正仿宋_GBK" w:eastAsia="方正仿宋_GBK"/>
          <w:w w:val="90"/>
          <w:sz w:val="32"/>
          <w:szCs w:val="32"/>
          <w:lang w:eastAsia="zh-CN"/>
        </w:rPr>
        <w:t>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9"/>
        <w:rPr>
          <w:rFonts w:hint="eastAsia" w:ascii="方正黑体_GBK" w:hAnsi="方正黑体_GBK" w:eastAsia="方正黑体_GBK" w:cs="方正黑体_GBK"/>
          <w:sz w:val="32"/>
          <w:szCs w:val="32"/>
          <w:lang w:val="en-US" w:eastAsia="zh-CN"/>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10</w:t>
      </w:r>
      <w:r>
        <w:rPr>
          <w:rFonts w:hint="eastAsia" w:ascii="方正黑体_GBK" w:hAnsi="方正黑体_GBK" w:eastAsia="方正黑体_GBK" w:cs="方正黑体_GBK"/>
          <w:sz w:val="32"/>
          <w:szCs w:val="32"/>
        </w:rPr>
        <w:t>：电控液压换挡的重载变速箱</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一、</w:t>
      </w:r>
      <w:r>
        <w:rPr>
          <w:rFonts w:hint="eastAsia" w:ascii="方正黑体_GBK" w:hAnsi="方正黑体_GBK" w:eastAsia="方正黑体_GBK" w:cs="方正黑体_GBK"/>
          <w:sz w:val="32"/>
          <w:szCs w:val="32"/>
        </w:rPr>
        <w:t>需求单位</w:t>
      </w:r>
    </w:p>
    <w:p>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新疆新研牧神科技有限公司</w:t>
      </w:r>
    </w:p>
    <w:p>
      <w:pPr>
        <w:pStyle w:val="12"/>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项目专员：付晓丽（15199090653）、赵玉仙（13999980257）</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二、</w:t>
      </w:r>
      <w:r>
        <w:rPr>
          <w:rFonts w:hint="eastAsia" w:ascii="方正黑体_GBK" w:hAnsi="方正黑体_GBK" w:eastAsia="方正黑体_GBK" w:cs="方正黑体_GBK"/>
          <w:sz w:val="32"/>
          <w:szCs w:val="32"/>
        </w:rPr>
        <w:t>需求内容及技术指标要求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开发承载能力20-35吨的大型重载变速箱，采用液压执行操控+齿轮传动，自动适应负荷和行驶阻力的变化，实现无级调速，适应传递大功率工作环境；应用电控液压换档技术和结构，提升变速箱操纵舒适性、安全性和便捷性；实现卡钳式制动器，电子驻车；研制的重载变速箱应用于公司研制的大型玉米籽粒联合收获机及4.5米青饲料收获机上，</w:t>
      </w:r>
      <w:r>
        <w:rPr>
          <w:rFonts w:hint="eastAsia" w:ascii="方正仿宋_GBK" w:hAnsi="方正仿宋_GBK" w:eastAsia="方正仿宋_GBK" w:cs="方正仿宋_GBK"/>
          <w:sz w:val="32"/>
          <w:szCs w:val="32"/>
          <w:lang w:val="en-US" w:eastAsia="zh-CN"/>
        </w:rPr>
        <w:t>试制2</w:t>
      </w:r>
      <w:r>
        <w:rPr>
          <w:rFonts w:hint="eastAsia" w:ascii="方正仿宋_GBK" w:hAnsi="方正仿宋_GBK" w:eastAsia="方正仿宋_GBK" w:cs="方正仿宋_GBK"/>
          <w:sz w:val="32"/>
          <w:szCs w:val="32"/>
        </w:rPr>
        <w:t>-4台样机</w:t>
      </w:r>
      <w:r>
        <w:rPr>
          <w:rFonts w:hint="eastAsia" w:ascii="方正仿宋_GBK" w:hAnsi="方正仿宋_GBK" w:eastAsia="方正仿宋_GBK" w:cs="方正仿宋_GBK"/>
          <w:sz w:val="32"/>
          <w:szCs w:val="32"/>
          <w:lang w:eastAsia="zh-CN"/>
        </w:rPr>
        <w:t>，</w:t>
      </w:r>
      <w:r>
        <w:rPr>
          <w:rFonts w:hint="eastAsia" w:ascii="方正仿宋_GBK" w:hAnsi="方正仿宋_GBK" w:eastAsia="方正仿宋_GBK" w:cs="方正仿宋_GBK"/>
          <w:sz w:val="32"/>
          <w:szCs w:val="32"/>
          <w:lang w:val="en-US" w:eastAsia="zh-CN"/>
        </w:rPr>
        <w:t>开展</w:t>
      </w:r>
      <w:r>
        <w:rPr>
          <w:rFonts w:hint="eastAsia" w:ascii="方正仿宋_GBK" w:hAnsi="方正仿宋_GBK" w:eastAsia="方正仿宋_GBK" w:cs="方正仿宋_GBK"/>
          <w:sz w:val="32"/>
          <w:szCs w:val="32"/>
        </w:rPr>
        <w:t>田间恶劣环境的适应性试验和可靠性试验，确保一年作业期</w:t>
      </w:r>
      <w:r>
        <w:rPr>
          <w:rFonts w:hint="eastAsia" w:ascii="方正仿宋_GBK" w:hAnsi="方正仿宋_GBK" w:eastAsia="方正仿宋_GBK" w:cs="方正仿宋_GBK"/>
          <w:sz w:val="32"/>
          <w:szCs w:val="32"/>
          <w:lang w:val="en-US" w:eastAsia="zh-CN"/>
        </w:rPr>
        <w:t>内</w:t>
      </w:r>
      <w:r>
        <w:rPr>
          <w:rFonts w:hint="eastAsia" w:ascii="方正仿宋_GBK" w:hAnsi="方正仿宋_GBK" w:eastAsia="方正仿宋_GBK" w:cs="方正仿宋_GBK"/>
          <w:sz w:val="32"/>
          <w:szCs w:val="32"/>
        </w:rPr>
        <w:t>，行驶可靠无重大故障，变速操纵便捷无卡滞，相对现1000系列的变速箱传动效率提升10%以上。</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承载力20-35吨，行驶速度≥25km/h，最大输入转速≤3600r/min，总减速比≥100，换挡控制压力150-180bar，液压驻车解除压力：90-150BAR；系统最大压力200bar； 供电电压12V/24，挡位数量2-4个。</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三、</w:t>
      </w:r>
      <w:r>
        <w:rPr>
          <w:rFonts w:hint="eastAsia" w:ascii="方正黑体_GBK" w:hAnsi="方正黑体_GBK" w:eastAsia="方正黑体_GBK" w:cs="方正黑体_GBK"/>
          <w:sz w:val="32"/>
          <w:szCs w:val="32"/>
        </w:rPr>
        <w:t>预期成果形式</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研制出电控液压换档变速箱，提供静态测试报告，针对本项目提出的研究成果申请的专利，知识产权及科技成果归属权为揭榜方和发榜方共有；变速箱安装于公司研制的14kg/s 及以上大喂入量谷物联合收获机及喂入量30kg/s以上大型青饲料收获机新产品上，试验样机2-4台，工作可靠，首次故障时间不大于200小时，关键技术参数监测信息通过CAN总线监测，一个作业期内无重大故障</w:t>
      </w:r>
      <w:r>
        <w:rPr>
          <w:rFonts w:hint="eastAsia" w:ascii="方正仿宋_GBK" w:hAnsi="方正仿宋_GBK" w:eastAsia="方正仿宋_GBK" w:cs="方正仿宋_GBK"/>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四、</w:t>
      </w:r>
      <w:r>
        <w:rPr>
          <w:rFonts w:hint="eastAsia" w:ascii="方正黑体_GBK" w:hAnsi="方正黑体_GBK" w:eastAsia="方正黑体_GBK" w:cs="方正黑体_GBK"/>
          <w:sz w:val="32"/>
          <w:szCs w:val="32"/>
        </w:rPr>
        <w:t>交付条件</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述任务列出考核指标及样机在发榜方研制的新产品试用效果验证报告作为验收的主要依据。揭榜方应提供研制的变速箱第三方检测报告和企业内部产品标准、静态测试报告。项目完成后，合同各方组成专家验收组，采用专家出具评审意见方式对研发成果进行验收。</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五、</w:t>
      </w:r>
      <w:r>
        <w:rPr>
          <w:rFonts w:hint="eastAsia" w:ascii="方正黑体_GBK" w:hAnsi="方正黑体_GBK" w:eastAsia="方正黑体_GBK" w:cs="方正黑体_GBK"/>
          <w:sz w:val="32"/>
          <w:szCs w:val="32"/>
        </w:rPr>
        <w:t>项目实施周期及揭榜金额</w:t>
      </w:r>
    </w:p>
    <w:p>
      <w:pPr>
        <w:keepNext w:val="0"/>
        <w:keepLines w:val="0"/>
        <w:pageBreakBefore w:val="0"/>
        <w:widowControl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hAnsi="方正仿宋_GBK" w:eastAsia="方正仿宋_GBK" w:cs="方正仿宋_GBK"/>
          <w:sz w:val="32"/>
          <w:szCs w:val="32"/>
        </w:rPr>
        <w:t>项目实施周期为2年</w:t>
      </w:r>
      <w:r>
        <w:rPr>
          <w:rFonts w:hint="eastAsia" w:ascii="方正仿宋_GBK" w:hAnsi="方正仿宋_GBK" w:eastAsia="方正仿宋_GBK" w:cs="方正仿宋_GBK"/>
          <w:sz w:val="32"/>
          <w:szCs w:val="32"/>
          <w:lang w:eastAsia="zh-CN"/>
        </w:rPr>
        <w:t>，</w:t>
      </w:r>
      <w:r>
        <w:rPr>
          <w:rFonts w:hint="eastAsia" w:ascii="方正仿宋_GBK" w:eastAsia="方正仿宋_GBK"/>
          <w:sz w:val="32"/>
          <w:szCs w:val="32"/>
        </w:rPr>
        <w:t>揭榜金额</w:t>
      </w:r>
      <w:r>
        <w:rPr>
          <w:rFonts w:hint="eastAsia" w:ascii="方正仿宋_GBK" w:eastAsia="方正仿宋_GBK"/>
          <w:sz w:val="32"/>
          <w:szCs w:val="32"/>
          <w:lang w:eastAsia="zh-CN"/>
        </w:rPr>
        <w:t>不超过</w:t>
      </w:r>
      <w:r>
        <w:rPr>
          <w:rFonts w:hint="eastAsia" w:ascii="方正仿宋_GBK" w:eastAsia="方正仿宋_GBK"/>
          <w:sz w:val="32"/>
          <w:szCs w:val="32"/>
          <w:lang w:val="en-US" w:eastAsia="zh-CN"/>
        </w:rPr>
        <w:t>120</w:t>
      </w:r>
      <w:r>
        <w:rPr>
          <w:rFonts w:hint="eastAsia" w:ascii="方正仿宋_GBK" w:eastAsia="方正仿宋_GBK"/>
          <w:sz w:val="32"/>
          <w:szCs w:val="32"/>
        </w:rPr>
        <w:t>万元。</w:t>
      </w:r>
    </w:p>
    <w:p>
      <w:pPr>
        <w:keepNext w:val="0"/>
        <w:keepLines w:val="0"/>
        <w:pageBreakBefore w:val="0"/>
        <w:widowControl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val="en-US" w:eastAsia="zh-CN"/>
        </w:rPr>
        <w:t>六、</w:t>
      </w:r>
      <w:r>
        <w:rPr>
          <w:rFonts w:hint="eastAsia" w:ascii="方正黑体_GBK" w:hAnsi="方正黑体_GBK" w:eastAsia="方正黑体_GBK" w:cs="方正黑体_GBK"/>
          <w:sz w:val="32"/>
          <w:szCs w:val="32"/>
        </w:rPr>
        <w:t>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小标宋_GBK" w:hAnsi="方正小标宋_GBK" w:eastAsia="方正小标宋_GBK" w:cs="方正小标宋_GBK"/>
          <w:sz w:val="32"/>
          <w:szCs w:val="32"/>
        </w:rPr>
      </w:pPr>
      <w:r>
        <w:rPr>
          <w:rFonts w:hint="eastAsia" w:ascii="方正仿宋_GBK" w:eastAsia="方正仿宋_GBK"/>
          <w:sz w:val="32"/>
          <w:szCs w:val="32"/>
          <w:lang w:eastAsia="zh-CN"/>
        </w:rPr>
        <w:t>揭榜方应具有独立的研发团队、配套的科研条件和自主研发实力，</w:t>
      </w:r>
      <w:r>
        <w:rPr>
          <w:rFonts w:hint="eastAsia" w:ascii="方正仿宋_GBK" w:eastAsia="方正仿宋_GBK"/>
          <w:w w:val="90"/>
          <w:sz w:val="32"/>
          <w:szCs w:val="32"/>
          <w:lang w:eastAsia="zh-CN"/>
        </w:rPr>
        <w:t>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9"/>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9"/>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11</w:t>
      </w:r>
      <w:r>
        <w:rPr>
          <w:rFonts w:hint="eastAsia" w:ascii="方正黑体_GBK" w:hAnsi="方正黑体_GBK" w:eastAsia="方正黑体_GBK" w:cs="方正黑体_GBK"/>
          <w:sz w:val="32"/>
          <w:szCs w:val="32"/>
        </w:rPr>
        <w:t>：大功率动力输出弹性联轴器的多头输出分</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9"/>
        <w:rPr>
          <w:rFonts w:hint="eastAsia"/>
          <w:lang w:val="en-US" w:eastAsia="zh-CN"/>
        </w:rPr>
      </w:pPr>
      <w:r>
        <w:rPr>
          <w:rFonts w:hint="eastAsia" w:ascii="方正黑体_GBK" w:hAnsi="方正黑体_GBK" w:eastAsia="方正黑体_GBK" w:cs="方正黑体_GBK"/>
          <w:sz w:val="32"/>
          <w:szCs w:val="32"/>
        </w:rPr>
        <w:t>动箱</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一、</w:t>
      </w:r>
      <w:r>
        <w:rPr>
          <w:rFonts w:hint="eastAsia" w:ascii="方正黑体_GBK" w:hAnsi="方正黑体_GBK" w:eastAsia="方正黑体_GBK" w:cs="方正黑体_GBK"/>
          <w:sz w:val="32"/>
          <w:szCs w:val="32"/>
        </w:rPr>
        <w:t>需求单位</w:t>
      </w:r>
    </w:p>
    <w:p>
      <w:pPr>
        <w:pStyle w:val="12"/>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新疆新研牧神科技有限公司</w:t>
      </w:r>
    </w:p>
    <w:p>
      <w:pPr>
        <w:pStyle w:val="12"/>
        <w:keepNext w:val="0"/>
        <w:keepLines w:val="0"/>
        <w:pageBreakBefore w:val="0"/>
        <w:widowControl w:val="0"/>
        <w:kinsoku/>
        <w:wordWrap/>
        <w:overflowPunct/>
        <w:topLinePunct w:val="0"/>
        <w:autoSpaceDE/>
        <w:autoSpaceDN/>
        <w:bidi w:val="0"/>
        <w:adjustRightInd/>
        <w:snapToGrid/>
        <w:spacing w:line="500" w:lineRule="exact"/>
        <w:ind w:left="0"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项目专员：付晓丽（15199090653）、赵玉仙（13999980257）</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二、</w:t>
      </w:r>
      <w:r>
        <w:rPr>
          <w:rFonts w:hint="eastAsia" w:ascii="方正黑体_GBK" w:hAnsi="方正黑体_GBK" w:eastAsia="方正黑体_GBK" w:cs="方正黑体_GBK"/>
          <w:sz w:val="32"/>
          <w:szCs w:val="32"/>
        </w:rPr>
        <w:t>需求内容及技术指标要求</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val="en-US" w:eastAsia="zh-CN"/>
        </w:rPr>
        <w:t xml:space="preserve">1.针对我国农机具配套使用的400Kw/600PS大功率的分动箱技术空白，国外限制进口。开发满足大功率农机具的分动箱，带有液压离合器及正反转功能，集成液压和机械传动的优势，在发动机不停止时可自由切换正反转，自动润滑。  </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匹配发动机额定功率600马力以上，最大输入转速2500r/min，最大输入扭矩3500n•m</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分动箱输出端口五个以上，其中一个为皮带轮输出，速比1:1，其余为液压泵输出端口，速比1:1.3~1.5（升速），具有多种泵口连接方式</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皮带轮输出轴线与发动机动力输出轴线呈90度布置，最大输入转速2500r/min，最大输入扭矩1800n•m，功率不小于120KW，并带有液压离合器及正反转功能，在发动机不停</w:t>
      </w:r>
      <w:r>
        <w:rPr>
          <w:rFonts w:hint="eastAsia" w:ascii="方正仿宋_GBK" w:hAnsi="方正仿宋_GBK" w:eastAsia="方正仿宋_GBK" w:cs="方正仿宋_GBK"/>
          <w:sz w:val="32"/>
          <w:szCs w:val="32"/>
          <w:lang w:val="en-US" w:eastAsia="zh-CN"/>
        </w:rPr>
        <w:t>机</w:t>
      </w:r>
      <w:r>
        <w:rPr>
          <w:rFonts w:hint="eastAsia" w:ascii="方正仿宋_GBK" w:hAnsi="方正仿宋_GBK" w:eastAsia="方正仿宋_GBK" w:cs="方正仿宋_GBK"/>
          <w:sz w:val="32"/>
          <w:szCs w:val="32"/>
        </w:rPr>
        <w:t>时可自由切换正反转</w:t>
      </w:r>
      <w:r>
        <w:rPr>
          <w:rFonts w:hint="eastAsia" w:ascii="方正仿宋_GBK" w:hAnsi="方正仿宋_GBK" w:eastAsia="方正仿宋_GBK" w:cs="方正仿宋_GBK"/>
          <w:sz w:val="32"/>
          <w:szCs w:val="32"/>
          <w:lang w:val="en-US" w:eastAsia="zh-CN"/>
        </w:rPr>
        <w:t>；</w:t>
      </w:r>
      <w:r>
        <w:rPr>
          <w:rFonts w:hint="eastAsia" w:ascii="方正仿宋_GBK" w:hAnsi="方正仿宋_GBK" w:eastAsia="方正仿宋_GBK" w:cs="方正仿宋_GBK"/>
          <w:sz w:val="32"/>
          <w:szCs w:val="32"/>
        </w:rPr>
        <w:t>液压泵输出端口总功率不小于400Kw，最大输出转速2800 r/min。</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三、</w:t>
      </w:r>
      <w:r>
        <w:rPr>
          <w:rFonts w:hint="eastAsia" w:ascii="方正黑体_GBK" w:hAnsi="方正黑体_GBK" w:eastAsia="方正黑体_GBK" w:cs="方正黑体_GBK"/>
          <w:sz w:val="32"/>
          <w:szCs w:val="32"/>
        </w:rPr>
        <w:t>预期成果形式</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研制出大功率动力输出弹性联轴器的多头输出分动箱，提供静态测试报告，针对本项目提出的研究成果申请的专利，知识产权及科技成果归属权为揭榜方和发榜方共有；分动箱安装于公司研制的14kg/s 及以上大喂入量谷物联合收获机及喂入量30kg/s以上大型青饲料收获机新产品上，试验样机2-4台，工作可靠，首次故障时间不大于200小时，关键技术参数监测信息通过CAN总线监测，一个作业期内无重大故障</w:t>
      </w:r>
      <w:r>
        <w:rPr>
          <w:rFonts w:hint="eastAsia" w:ascii="方正仿宋_GBK" w:hAnsi="方正仿宋_GBK" w:eastAsia="方正仿宋_GBK" w:cs="方正仿宋_GBK"/>
          <w:sz w:val="32"/>
          <w:szCs w:val="32"/>
          <w:lang w:eastAsia="zh-CN"/>
        </w:rPr>
        <w:t>。</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四、</w:t>
      </w:r>
      <w:r>
        <w:rPr>
          <w:rFonts w:hint="eastAsia" w:ascii="方正黑体_GBK" w:hAnsi="方正黑体_GBK" w:eastAsia="方正黑体_GBK" w:cs="方正黑体_GBK"/>
          <w:sz w:val="32"/>
          <w:szCs w:val="32"/>
        </w:rPr>
        <w:t>交付条件</w:t>
      </w:r>
    </w:p>
    <w:p>
      <w:pPr>
        <w:pStyle w:val="12"/>
        <w:keepNext w:val="0"/>
        <w:keepLines w:val="0"/>
        <w:pageBreakBefore w:val="0"/>
        <w:widowControl w:val="0"/>
        <w:kinsoku/>
        <w:wordWrap/>
        <w:overflowPunct/>
        <w:topLinePunct w:val="0"/>
        <w:autoSpaceDE/>
        <w:autoSpaceDN/>
        <w:bidi w:val="0"/>
        <w:adjustRightInd/>
        <w:snapToGrid/>
        <w:spacing w:line="500" w:lineRule="exact"/>
        <w:ind w:firstLine="48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以上述任务列出考核指标及样机在发榜方研制的新产品试用效果验证报告作为验收的主要依据。揭榜方应提供研制的分动箱第三方检测报告和企业内部产品标准、静态测试报告。项目完成后，合同各方组成专家验收组，采用专家出具评审意见方式对研发成果进行验收。</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五、</w:t>
      </w:r>
      <w:r>
        <w:rPr>
          <w:rFonts w:hint="eastAsia" w:ascii="方正黑体_GBK" w:hAnsi="方正黑体_GBK" w:eastAsia="方正黑体_GBK" w:cs="方正黑体_GBK"/>
          <w:sz w:val="32"/>
          <w:szCs w:val="32"/>
        </w:rPr>
        <w:t>项目实施周期及揭榜金额</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项目实施周期为2年</w:t>
      </w:r>
      <w:r>
        <w:rPr>
          <w:rFonts w:hint="eastAsia" w:ascii="方正仿宋_GBK" w:hAnsi="方正仿宋_GBK" w:eastAsia="方正仿宋_GBK" w:cs="方正仿宋_GBK"/>
          <w:sz w:val="32"/>
          <w:szCs w:val="32"/>
          <w:lang w:eastAsia="zh-CN"/>
        </w:rPr>
        <w:t>，</w:t>
      </w:r>
      <w:r>
        <w:rPr>
          <w:rFonts w:hint="eastAsia" w:ascii="方正仿宋_GBK" w:eastAsia="方正仿宋_GBK"/>
          <w:sz w:val="32"/>
          <w:szCs w:val="32"/>
        </w:rPr>
        <w:t>揭榜金额</w:t>
      </w:r>
      <w:r>
        <w:rPr>
          <w:rFonts w:hint="eastAsia" w:ascii="方正仿宋_GBK" w:eastAsia="方正仿宋_GBK"/>
          <w:sz w:val="32"/>
          <w:szCs w:val="32"/>
          <w:lang w:eastAsia="zh-CN"/>
        </w:rPr>
        <w:t>不超过</w:t>
      </w:r>
      <w:r>
        <w:rPr>
          <w:rFonts w:hint="eastAsia" w:ascii="方正仿宋_GBK" w:eastAsia="方正仿宋_GBK"/>
          <w:sz w:val="32"/>
          <w:szCs w:val="32"/>
          <w:lang w:val="en-US" w:eastAsia="zh-CN"/>
        </w:rPr>
        <w:t>200</w:t>
      </w:r>
      <w:r>
        <w:rPr>
          <w:rFonts w:hint="eastAsia" w:ascii="方正仿宋_GBK" w:eastAsia="方正仿宋_GBK"/>
          <w:sz w:val="32"/>
          <w:szCs w:val="32"/>
        </w:rPr>
        <w:t>万元。</w:t>
      </w:r>
    </w:p>
    <w:p>
      <w:pPr>
        <w:pStyle w:val="12"/>
        <w:keepNext w:val="0"/>
        <w:keepLines w:val="0"/>
        <w:pageBreakBefore w:val="0"/>
        <w:widowControl w:val="0"/>
        <w:numPr>
          <w:ilvl w:val="0"/>
          <w:numId w:val="0"/>
        </w:numPr>
        <w:kinsoku/>
        <w:wordWrap/>
        <w:overflowPunct/>
        <w:topLinePunct w:val="0"/>
        <w:autoSpaceDE/>
        <w:autoSpaceDN/>
        <w:bidi w:val="0"/>
        <w:adjustRightInd/>
        <w:snapToGrid/>
        <w:spacing w:line="500" w:lineRule="exact"/>
        <w:ind w:leftChars="0" w:firstLine="640" w:firstLineChars="200"/>
        <w:textAlignment w:val="auto"/>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lang w:eastAsia="zh-CN"/>
        </w:rPr>
        <w:t>六、</w:t>
      </w:r>
      <w:r>
        <w:rPr>
          <w:rFonts w:hint="eastAsia" w:ascii="方正黑体_GBK" w:hAnsi="方正黑体_GBK" w:eastAsia="方正黑体_GBK" w:cs="方正黑体_GBK"/>
          <w:sz w:val="32"/>
          <w:szCs w:val="32"/>
        </w:rPr>
        <w:t>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pStyle w:val="4"/>
        <w:keepNext w:val="0"/>
        <w:keepLines w:val="0"/>
        <w:pageBreakBefore w:val="0"/>
        <w:widowControl w:val="0"/>
        <w:kinsoku/>
        <w:wordWrap/>
        <w:overflowPunct/>
        <w:topLinePunct w:val="0"/>
        <w:autoSpaceDE/>
        <w:autoSpaceDN/>
        <w:bidi w:val="0"/>
        <w:adjustRightInd/>
        <w:snapToGrid/>
        <w:spacing w:line="500" w:lineRule="exact"/>
        <w:textAlignment w:val="auto"/>
        <w:rPr>
          <w:rFonts w:hint="eastAsia"/>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12</w:t>
      </w:r>
      <w:r>
        <w:rPr>
          <w:rFonts w:hint="eastAsia" w:ascii="方正黑体_GBK" w:hAnsi="方正黑体_GBK" w:eastAsia="方正黑体_GBK" w:cs="方正黑体_GBK"/>
          <w:sz w:val="32"/>
          <w:szCs w:val="32"/>
        </w:rPr>
        <w:t>：家禽智能微正压环控养殖模式技术装备研</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究与示范</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一、需求单位</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新疆泰昆翔凤农牧科技有限公司</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项目专员：高宏伟（</w:t>
      </w:r>
      <w:r>
        <w:rPr>
          <w:rFonts w:ascii="方正仿宋_GBK" w:eastAsia="方正仿宋_GBK"/>
          <w:sz w:val="32"/>
          <w:szCs w:val="32"/>
        </w:rPr>
        <w:t>13999369898</w:t>
      </w:r>
      <w:r>
        <w:rPr>
          <w:rFonts w:hint="eastAsia" w:ascii="方正仿宋_GBK" w:eastAsia="方正仿宋_GBK"/>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二、需求内容及技术指标要求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1.</w:t>
      </w:r>
      <w:r>
        <w:rPr>
          <w:rFonts w:hint="eastAsia" w:ascii="方正仿宋_GBK" w:eastAsia="方正仿宋_GBK"/>
          <w:sz w:val="32"/>
          <w:szCs w:val="32"/>
        </w:rPr>
        <w:t>针对新疆冬季寒冷、夏季炎热、全年昼夜温差大、湿度低的气候特点，研究智能微正压环控模式，制定《智能微正压环控模式硬件配置及控制逻辑技术标准》1套，并应用于发榜企业。</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2.</w:t>
      </w:r>
      <w:r>
        <w:rPr>
          <w:rFonts w:hint="eastAsia" w:ascii="方正仿宋_GBK" w:eastAsia="方正仿宋_GBK"/>
          <w:sz w:val="32"/>
          <w:szCs w:val="32"/>
        </w:rPr>
        <w:t>结合商品肉鸡笼养环控要求，在外界温度</w:t>
      </w:r>
      <w:r>
        <w:rPr>
          <w:rFonts w:ascii="方正仿宋_GBK" w:eastAsia="方正仿宋_GBK"/>
          <w:sz w:val="32"/>
          <w:szCs w:val="32"/>
        </w:rPr>
        <w:t>-45</w:t>
      </w:r>
      <w:r>
        <w:rPr>
          <w:rFonts w:hint="eastAsia" w:ascii="方正仿宋_GBK" w:eastAsia="方正仿宋_GBK"/>
          <w:sz w:val="32"/>
          <w:szCs w:val="32"/>
        </w:rPr>
        <w:t>℃至</w:t>
      </w:r>
      <w:r>
        <w:rPr>
          <w:rFonts w:ascii="方正仿宋_GBK" w:eastAsia="方正仿宋_GBK"/>
          <w:sz w:val="32"/>
          <w:szCs w:val="32"/>
        </w:rPr>
        <w:t>45</w:t>
      </w:r>
      <w:r>
        <w:rPr>
          <w:rFonts w:hint="eastAsia" w:ascii="方正仿宋_GBK" w:eastAsia="方正仿宋_GBK"/>
          <w:sz w:val="32"/>
          <w:szCs w:val="32"/>
        </w:rPr>
        <w:t>℃下，全年保证舍内温度/湿度/风速/压力/空气质量均匀、稳定、良好，避免冷、热应激的发生。冬季热回收效率达到50-65%。对比传统负压环控养殖环境，降低综合生产成本5%以上。制定《商品肉鸡笼养智能微正压环控模式环控技术标准》</w:t>
      </w:r>
      <w:r>
        <w:rPr>
          <w:rFonts w:ascii="方正仿宋_GBK" w:eastAsia="方正仿宋_GBK"/>
          <w:sz w:val="32"/>
          <w:szCs w:val="32"/>
        </w:rPr>
        <w:t>1</w:t>
      </w:r>
      <w:r>
        <w:rPr>
          <w:rFonts w:hint="eastAsia" w:ascii="方正仿宋_GBK" w:eastAsia="方正仿宋_GBK"/>
          <w:sz w:val="32"/>
          <w:szCs w:val="32"/>
        </w:rPr>
        <w:t>套。</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3.</w:t>
      </w:r>
      <w:r>
        <w:rPr>
          <w:rFonts w:hint="eastAsia" w:ascii="方正仿宋_GBK" w:eastAsia="方正仿宋_GBK"/>
          <w:sz w:val="32"/>
          <w:szCs w:val="32"/>
        </w:rPr>
        <w:t>研究智能微正压环控模式移动端和设备端物联网，搭建基于物联网和互联网+的养殖小区智能环控数字化控制平台，实现远程控制，全年环控操作无需人工干预。取得软件著作权1项。</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lang w:val="en-US" w:eastAsia="zh-CN"/>
        </w:rPr>
        <w:t>4.</w:t>
      </w:r>
      <w:r>
        <w:rPr>
          <w:rFonts w:hint="eastAsia" w:ascii="方正仿宋_GBK" w:eastAsia="方正仿宋_GBK"/>
          <w:sz w:val="32"/>
          <w:szCs w:val="32"/>
        </w:rPr>
        <w:t>收集智能微正压环控模式能耗数据，并与常规负压环控模式能耗进行对比，形成《智能微正压环控模式节能降耗对比分析报告》</w:t>
      </w:r>
      <w:r>
        <w:rPr>
          <w:rFonts w:ascii="方正仿宋_GBK" w:eastAsia="方正仿宋_GBK"/>
          <w:sz w:val="32"/>
          <w:szCs w:val="32"/>
        </w:rPr>
        <w:t>1</w:t>
      </w:r>
      <w:r>
        <w:rPr>
          <w:rFonts w:hint="eastAsia" w:ascii="方正仿宋_GBK" w:eastAsia="方正仿宋_GBK"/>
          <w:sz w:val="32"/>
          <w:szCs w:val="32"/>
        </w:rPr>
        <w:t>个。</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黑体_GBK" w:hAnsi="方正黑体_GBK" w:eastAsia="方正黑体_GBK" w:cs="方正黑体_GBK"/>
          <w:sz w:val="32"/>
          <w:szCs w:val="32"/>
        </w:rPr>
      </w:pPr>
      <w:r>
        <w:rPr>
          <w:rFonts w:hint="eastAsia" w:ascii="方正仿宋_GBK" w:eastAsia="方正仿宋_GBK"/>
          <w:sz w:val="32"/>
          <w:szCs w:val="32"/>
          <w:lang w:val="en-US" w:eastAsia="zh-CN"/>
        </w:rPr>
        <w:t>5.</w:t>
      </w:r>
      <w:r>
        <w:rPr>
          <w:rFonts w:hint="eastAsia" w:ascii="方正仿宋_GBK" w:eastAsia="方正仿宋_GBK"/>
          <w:sz w:val="32"/>
          <w:szCs w:val="32"/>
        </w:rPr>
        <w:t>基于全年智能微正压环控模式设计，集成智能微正压环控软硬件技术，首先在发榜企业商品笼养肉鸡场（8栋舍）进行示范应用，形成可复制推广的技术模式。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制定《智能微正压环控模式硬件配置及控制逻辑技术标准》1套；制定《商品肉鸡笼养智能微正压环控模式环控技术标准》</w:t>
      </w:r>
      <w:r>
        <w:rPr>
          <w:rFonts w:ascii="方正仿宋_GBK" w:eastAsia="方正仿宋_GBK"/>
          <w:sz w:val="32"/>
          <w:szCs w:val="32"/>
        </w:rPr>
        <w:t>1</w:t>
      </w:r>
      <w:r>
        <w:rPr>
          <w:rFonts w:hint="eastAsia" w:ascii="方正仿宋_GBK" w:eastAsia="方正仿宋_GBK"/>
          <w:sz w:val="32"/>
          <w:szCs w:val="32"/>
        </w:rPr>
        <w:t>套；冬季热回收效率达到50-65%，降低综合生产成本5%以上；形成《智能微正压环控模式节能降耗对比分析报告》</w:t>
      </w:r>
      <w:r>
        <w:rPr>
          <w:rFonts w:ascii="方正仿宋_GBK" w:eastAsia="方正仿宋_GBK"/>
          <w:sz w:val="32"/>
          <w:szCs w:val="32"/>
        </w:rPr>
        <w:t>1</w:t>
      </w:r>
      <w:r>
        <w:rPr>
          <w:rFonts w:hint="eastAsia" w:ascii="方正仿宋_GBK" w:eastAsia="方正仿宋_GBK"/>
          <w:sz w:val="32"/>
          <w:szCs w:val="32"/>
        </w:rPr>
        <w:t>个；智能微正压环控模式取得软件著作权1项；形成智能微正压环控软硬件技术应用体系1套。</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1.</w:t>
      </w:r>
      <w:r>
        <w:rPr>
          <w:rFonts w:hint="eastAsia" w:ascii="方正仿宋_GBK" w:hAnsi="方正仿宋_GBK" w:eastAsia="方正仿宋_GBK" w:cs="方正仿宋_GBK"/>
          <w:sz w:val="32"/>
          <w:szCs w:val="32"/>
        </w:rPr>
        <w:t xml:space="preserve">提供的技术标准、技术报告：以国际标准、国家标准、行业标准、团体标准、企业标准、技术规范等的初稿、征求意见稿、备案文件或送审稿复印件呈现。 </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2.</w:t>
      </w:r>
      <w:r>
        <w:rPr>
          <w:rFonts w:hint="eastAsia" w:ascii="方正仿宋_GBK" w:hAnsi="方正仿宋_GBK" w:eastAsia="方正仿宋_GBK" w:cs="方正仿宋_GBK"/>
          <w:sz w:val="32"/>
          <w:szCs w:val="32"/>
        </w:rPr>
        <w:t>成本比较以记录资料、行业批文或者企业应用证明形式呈现。</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3.</w:t>
      </w:r>
      <w:r>
        <w:rPr>
          <w:rFonts w:hint="eastAsia" w:ascii="方正仿宋_GBK" w:hAnsi="方正仿宋_GBK" w:eastAsia="方正仿宋_GBK" w:cs="方正仿宋_GBK"/>
          <w:sz w:val="32"/>
          <w:szCs w:val="32"/>
        </w:rPr>
        <w:t>应用体系，以技术报告、行业批文或者企业应用证明形式呈现。</w:t>
      </w:r>
    </w:p>
    <w:p>
      <w:pPr>
        <w:keepNext w:val="0"/>
        <w:keepLines w:val="0"/>
        <w:pageBreakBefore w:val="0"/>
        <w:kinsoku/>
        <w:wordWrap/>
        <w:overflowPunct/>
        <w:topLinePunct w:val="0"/>
        <w:autoSpaceDE/>
        <w:autoSpaceDN/>
        <w:bidi w:val="0"/>
        <w:adjustRightInd/>
        <w:spacing w:line="500" w:lineRule="exact"/>
        <w:ind w:firstLine="640" w:firstLineChars="200"/>
        <w:textAlignment w:val="auto"/>
        <w:outlineLvl w:val="1"/>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lang w:val="en-US" w:eastAsia="zh-CN"/>
        </w:rPr>
        <w:t>4.</w:t>
      </w:r>
      <w:r>
        <w:rPr>
          <w:rFonts w:hint="eastAsia" w:ascii="方正仿宋_GBK" w:hAnsi="方正仿宋_GBK" w:eastAsia="方正仿宋_GBK" w:cs="方正仿宋_GBK"/>
          <w:sz w:val="32"/>
          <w:szCs w:val="32"/>
        </w:rPr>
        <w:t>提供软件著作权证书。</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b/>
          <w:bCs/>
          <w:color w:val="FF0000"/>
          <w:sz w:val="32"/>
          <w:szCs w:val="32"/>
        </w:rPr>
      </w:pPr>
      <w:r>
        <w:rPr>
          <w:rFonts w:hint="eastAsia" w:ascii="方正仿宋_GBK" w:eastAsia="方正仿宋_GBK"/>
          <w:sz w:val="32"/>
          <w:szCs w:val="32"/>
        </w:rPr>
        <w:t>项目实施周期为3年；揭榜金额</w:t>
      </w:r>
      <w:r>
        <w:rPr>
          <w:rFonts w:hint="eastAsia" w:ascii="方正仿宋_GBK" w:eastAsia="方正仿宋_GBK"/>
          <w:sz w:val="32"/>
          <w:szCs w:val="32"/>
          <w:lang w:eastAsia="zh-CN"/>
        </w:rPr>
        <w:t>不超过</w:t>
      </w:r>
      <w:r>
        <w:rPr>
          <w:rFonts w:ascii="方正仿宋_GBK" w:eastAsia="方正仿宋_GBK"/>
          <w:sz w:val="32"/>
          <w:szCs w:val="32"/>
        </w:rPr>
        <w:t>500</w:t>
      </w:r>
      <w:r>
        <w:rPr>
          <w:rFonts w:hint="eastAsia" w:ascii="方正仿宋_GBK" w:eastAsia="方正仿宋_GBK"/>
          <w:sz w:val="32"/>
          <w:szCs w:val="32"/>
        </w:rPr>
        <w:t>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六、对揭榜方要求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w w:val="90"/>
          <w:sz w:val="32"/>
          <w:szCs w:val="32"/>
          <w:lang w:val="en-US" w:eastAsia="zh-CN"/>
        </w:rPr>
      </w:pPr>
      <w:r>
        <w:rPr>
          <w:rFonts w:hint="eastAsia" w:ascii="方正仿宋_GBK" w:eastAsia="方正仿宋_GBK"/>
          <w:sz w:val="32"/>
          <w:szCs w:val="32"/>
          <w:lang w:eastAsia="zh-CN"/>
        </w:rPr>
        <w:t>揭榜方应具有独立的研发团队、配套的科研条件和自主</w:t>
      </w:r>
      <w:r>
        <w:rPr>
          <w:rFonts w:hint="eastAsia" w:ascii="方正仿宋_GBK" w:eastAsia="方正仿宋_GBK"/>
          <w:w w:val="90"/>
          <w:sz w:val="32"/>
          <w:szCs w:val="32"/>
          <w:lang w:eastAsia="zh-CN"/>
        </w:rPr>
        <w:t>研发实力，能按要求完成揭榜任务（具体要求请与项目专员联系）。</w:t>
      </w:r>
    </w:p>
    <w:p>
      <w:pPr>
        <w:pStyle w:val="4"/>
        <w:keepNext w:val="0"/>
        <w:keepLines w:val="0"/>
        <w:pageBreakBefore w:val="0"/>
        <w:kinsoku/>
        <w:wordWrap/>
        <w:overflowPunct/>
        <w:topLinePunct w:val="0"/>
        <w:autoSpaceDE/>
        <w:autoSpaceDN/>
        <w:bidi w:val="0"/>
        <w:adjustRightInd/>
        <w:spacing w:line="500" w:lineRule="exact"/>
        <w:textAlignment w:val="auto"/>
        <w:rPr>
          <w:rFonts w:hint="eastAsia" w:ascii="方正仿宋_GBK" w:eastAsia="方正仿宋_GBK"/>
          <w:sz w:val="32"/>
          <w:szCs w:val="32"/>
        </w:rPr>
      </w:pPr>
    </w:p>
    <w:p>
      <w:pPr>
        <w:pStyle w:val="4"/>
        <w:keepNext w:val="0"/>
        <w:keepLines w:val="0"/>
        <w:pageBreakBefore w:val="0"/>
        <w:kinsoku/>
        <w:wordWrap/>
        <w:overflowPunct/>
        <w:topLinePunct w:val="0"/>
        <w:autoSpaceDE/>
        <w:autoSpaceDN/>
        <w:bidi w:val="0"/>
        <w:adjustRightInd/>
        <w:spacing w:line="500" w:lineRule="exact"/>
        <w:textAlignment w:val="auto"/>
        <w:rPr>
          <w:rFonts w:hint="eastAsia" w:ascii="方正仿宋_GBK" w:eastAsia="方正仿宋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13</w:t>
      </w:r>
      <w:r>
        <w:rPr>
          <w:rFonts w:hint="eastAsia" w:ascii="方正黑体_GBK" w:hAnsi="方正黑体_GBK" w:eastAsia="方正黑体_GBK" w:cs="方正黑体_GBK"/>
          <w:sz w:val="32"/>
          <w:szCs w:val="32"/>
        </w:rPr>
        <w:t>：巨厚煤层开采矿井瓦斯灾害智能防控技术</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兖矿新疆能化有限公司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lang w:eastAsia="zh-CN"/>
        </w:rPr>
      </w:pPr>
      <w:r>
        <w:rPr>
          <w:rFonts w:hint="eastAsia" w:ascii="方正仿宋_GBK" w:hAnsi="方正仿宋_GBK" w:eastAsia="方正仿宋_GBK" w:cs="方正仿宋_GBK"/>
          <w:sz w:val="32"/>
          <w:szCs w:val="32"/>
        </w:rPr>
        <w:t>项目专员：孙岩（18997910399） 、黄义通</w:t>
      </w:r>
      <w:r>
        <w:rPr>
          <w:rFonts w:hint="eastAsia" w:ascii="方正仿宋_GBK" w:hAnsi="方正仿宋_GBK" w:eastAsia="方正仿宋_GBK" w:cs="方正仿宋_GBK"/>
          <w:sz w:val="32"/>
          <w:szCs w:val="32"/>
          <w:lang w:val="zh-TW" w:eastAsia="zh-TW"/>
        </w:rPr>
        <w:t>（</w:t>
      </w:r>
      <w:r>
        <w:rPr>
          <w:rFonts w:hint="eastAsia" w:ascii="方正仿宋_GBK" w:hAnsi="方正仿宋_GBK" w:eastAsia="方正仿宋_GBK" w:cs="方正仿宋_GBK"/>
          <w:sz w:val="32"/>
          <w:szCs w:val="32"/>
        </w:rPr>
        <w:t>13475759346）</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提出瓦斯含量多源精准测定方法，研发巨厚煤层瓦斯涌出量动态精准预测软件；响应时间：核心接口pct99小于600ms，延迟时间：首屏＜500ms，吞吐量：83.3，并发数：峰值 QPS 50，资源利用率：CPU99 &gt; 85%，性能计数器：Pages/sec 0到20，cache bytes 50% mem，瓦斯涌出量预测精度≥90%；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2.研发巨厚煤层瓦斯富集区动态辨识设备及钻孔智能设计系统；卸压瓦斯富集区辨识精度≥95%，设备典型故障率＜3%，响应时间＜800ms。</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3.试制瓦斯抽采智能调控系统一套，实现井下瓦斯抽采参数实时监测、轨迹追踪、分级预警、智能调控等功能；平均页面响应时间不超过3秒，智能调控精度＞85%，保证瓦斯抽采率≥40%；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4.确保试验矿井巨厚煤层开采时上隅角、回风巷瓦斯浓度保持在1%以下。</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1.围绕巨厚煤层瓦斯含量测定、涌出量预测、瓦斯富集区智能探测与动态辨识、瓦斯运移规律、抽采方法最优选择、抽采监测指标与调控指标及瓦斯抽采智能调控等技术研究；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优化巨厚煤层钻孔封孔方式，在钻孔动态密封系统支路上安装检测传感器和电动调节阀，明确瓦斯抽采钻孔钻进监控指标临界值以及控制参数指标与动态密封工艺的耦合关系，实现巨厚煤层采卸压瓦斯抽采钻孔动态密封，提高抽采钻孔的成孔效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3.揭榜方形成与项目相关的设计方案3项，技术规范2项，研究报告1项；</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4.围绕各项研究成果分别发表相关论文不少于12篇，其中SCI论文不少于6篇；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val="0"/>
          <w:bCs w:val="0"/>
          <w:sz w:val="32"/>
          <w:szCs w:val="32"/>
        </w:rPr>
        <w:t>5.取得发明专利不少于6项，知识产权及科技成果归属权为发榜方和揭榜方双方共有。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上述分任务列出的考核指标和成果形式作为验收的主要依据。揭榜方申请专利应取得受理通知书；项目研究报告应通过技术专家联合评审。理论研究、仿真及算法、优化设计等成果以通过物理试验验证且达到预期效果为最终验收指标。项目完成后，组织专家进行评审，由专家组出具评审意见对研究开发成果进行验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color w:val="auto"/>
          <w:sz w:val="32"/>
          <w:szCs w:val="32"/>
        </w:rPr>
      </w:pPr>
      <w:r>
        <w:rPr>
          <w:rFonts w:hint="eastAsia" w:ascii="方正仿宋_GBK" w:hAnsi="方正仿宋_GBK" w:eastAsia="方正仿宋_GBK" w:cs="方正仿宋_GBK"/>
          <w:color w:val="auto"/>
          <w:sz w:val="32"/>
          <w:szCs w:val="32"/>
        </w:rPr>
        <w:t>项目实施周期为3年；揭榜金额</w:t>
      </w:r>
      <w:r>
        <w:rPr>
          <w:rFonts w:hint="eastAsia" w:ascii="方正仿宋_GBK" w:hAnsi="方正仿宋_GBK" w:eastAsia="方正仿宋_GBK" w:cs="方正仿宋_GBK"/>
          <w:color w:val="auto"/>
          <w:sz w:val="32"/>
          <w:szCs w:val="32"/>
          <w:lang w:eastAsia="zh-CN"/>
        </w:rPr>
        <w:t>不超过</w:t>
      </w:r>
      <w:r>
        <w:rPr>
          <w:rFonts w:hint="eastAsia" w:ascii="方正仿宋_GBK" w:hAnsi="方正仿宋_GBK" w:eastAsia="方正仿宋_GBK" w:cs="方正仿宋_GBK"/>
          <w:color w:val="auto"/>
          <w:sz w:val="32"/>
          <w:szCs w:val="32"/>
          <w:lang w:val="en-US" w:eastAsia="zh-CN"/>
        </w:rPr>
        <w:t>1</w:t>
      </w:r>
      <w:r>
        <w:rPr>
          <w:rFonts w:hint="eastAsia" w:ascii="方正仿宋_GBK" w:hAnsi="方正仿宋_GBK" w:eastAsia="方正仿宋_GBK" w:cs="方正仿宋_GBK"/>
          <w:color w:val="auto"/>
          <w:sz w:val="32"/>
          <w:szCs w:val="32"/>
        </w:rPr>
        <w:t>400万元。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w w:val="90"/>
          <w:sz w:val="32"/>
          <w:szCs w:val="32"/>
          <w:lang w:val="en-US" w:eastAsia="zh-CN"/>
        </w:rPr>
      </w:pPr>
      <w:r>
        <w:rPr>
          <w:rFonts w:hint="eastAsia" w:ascii="方正仿宋_GBK" w:eastAsia="方正仿宋_GBK"/>
          <w:sz w:val="32"/>
          <w:szCs w:val="32"/>
          <w:lang w:eastAsia="zh-CN"/>
        </w:rPr>
        <w:t>揭榜方应具有独立的研发团队、配套的科研条件和自主</w:t>
      </w:r>
      <w:r>
        <w:rPr>
          <w:rFonts w:hint="eastAsia" w:ascii="方正仿宋_GBK" w:eastAsia="方正仿宋_GBK"/>
          <w:w w:val="90"/>
          <w:sz w:val="32"/>
          <w:szCs w:val="32"/>
          <w:lang w:eastAsia="zh-CN"/>
        </w:rPr>
        <w:t>研发实力，能按要求完成揭榜任务（具体要求请与项目专员联系）。</w:t>
      </w:r>
    </w:p>
    <w:p>
      <w:pPr>
        <w:pStyle w:val="2"/>
        <w:keepNext w:val="0"/>
        <w:keepLines w:val="0"/>
        <w:pageBreakBefore w:val="0"/>
        <w:kinsoku/>
        <w:wordWrap/>
        <w:overflowPunct/>
        <w:topLinePunct w:val="0"/>
        <w:autoSpaceDE/>
        <w:autoSpaceDN/>
        <w:bidi w:val="0"/>
        <w:adjustRightInd/>
        <w:spacing w:line="500" w:lineRule="exact"/>
        <w:textAlignment w:val="auto"/>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left="2558" w:leftChars="304" w:hanging="1920" w:hangingChars="600"/>
        <w:textAlignment w:val="auto"/>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14</w:t>
      </w:r>
      <w:r>
        <w:rPr>
          <w:rFonts w:hint="eastAsia" w:ascii="方正黑体_GBK" w:hAnsi="方正黑体_GBK" w:eastAsia="方正黑体_GBK" w:cs="方正黑体_GBK"/>
          <w:sz w:val="32"/>
          <w:szCs w:val="32"/>
        </w:rPr>
        <w:t>：西帕依智能化制剂生产和质量控制关键技术研发</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新奇康药业股份有限公司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项目专员：秦华夏（18099166636）</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1.制剂生产过程质量控制专家系统研究。制剂产品总体合格率99.9%，生产过程灌装合格率100%，检测不合格剔除率 100%，不滴漏达100%，药剂成品率＞99.9%。</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2.制药设备作业智能调控及故障处理系统研究。设备有效作业率99%，实现理瓶、灌装、旋盖速率≥300瓶/分钟。</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3.制剂产率智能测算及工艺优化专家系统研究。产率为95%，制剂生产线平均装量误差为标识装量±0.1％。</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4.制剂生产过程成分含量智能化光谱监测系统研究。利用检测时间&lt;10秒的频率，建立红外光谱或拉曼光谱在线监测方法，关键参数1.36≤CPK≤1.67。</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5.实时采集及可视化制剂生产环节相关指标，控制检测时间＜10秒、数据准确率＞99%、采集数据存储时限＞5年，满足各指标和相关指标的1.36≤CPK≤1.67。</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 xml:space="preserve">围绕新奇康药业股份有限公司智能化制剂生产研发OEE、CPK目标要求，通过采集过程中的工艺、设备、质量、产量、能耗等参数并通过融合、建模、大数据处理等技术手段，找出影响OEE、CPK水平的关键参数，进行控制、协同研究，揭榜方形成设计方案。技术规范和专利3-4件、登记5-6项软件著作权，发表论文3-5篇，培养技术骨干8-10人 ；项目形成的软件著作权、研究论文和专著，合作方共同所有。合作方可共同申请相关专利和奖项，专利所有权归本公司；项目相关技术在本公司产业化推广形成的产业化利益，归本公司所有。 </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以上述分列出的需求内容及技术指标和成果形式作为验收的主要依据。本研究能够满足新奇康药业数智化生产和质量控制需求，揭榜方申请发明专利应取得受理通知书；项目研究报告应通过技术专家联合评审。系统最终实现OEE、CPK既定指标等成果以通过测试且达到预期效果为最终验收指标。项目完成后，组成相关方专家验收，采用专家出具评审意见的方式对研究开发成果进行验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项目实施周期为3年；揭榜金额</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sz w:val="32"/>
          <w:szCs w:val="32"/>
        </w:rPr>
        <w:t>1000万元。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kinsoku/>
        <w:wordWrap/>
        <w:overflowPunct/>
        <w:topLinePunct w:val="0"/>
        <w:autoSpaceDE/>
        <w:autoSpaceDN/>
        <w:bidi w:val="0"/>
        <w:adjustRightInd/>
        <w:spacing w:line="500" w:lineRule="exact"/>
        <w:jc w:val="left"/>
        <w:textAlignment w:val="auto"/>
        <w:outlineLvl w:val="1"/>
        <w:rPr>
          <w:rFonts w:hint="eastAsia" w:ascii="方正黑体_GBK" w:hAnsi="方正黑体_GBK" w:eastAsia="方正黑体_GBK" w:cs="方正黑体_GBK"/>
          <w:sz w:val="32"/>
          <w:szCs w:val="32"/>
        </w:rPr>
      </w:pPr>
    </w:p>
    <w:p>
      <w:pPr>
        <w:keepNext w:val="0"/>
        <w:keepLines w:val="0"/>
        <w:pageBreakBefore w:val="0"/>
        <w:kinsoku/>
        <w:wordWrap/>
        <w:overflowPunct/>
        <w:topLinePunct w:val="0"/>
        <w:autoSpaceDE/>
        <w:autoSpaceDN/>
        <w:bidi w:val="0"/>
        <w:adjustRightInd/>
        <w:spacing w:line="500" w:lineRule="exact"/>
        <w:ind w:left="2558" w:leftChars="304" w:hanging="1920" w:hangingChars="600"/>
        <w:jc w:val="left"/>
        <w:textAlignment w:val="auto"/>
        <w:outlineLvl w:val="1"/>
        <w:rPr>
          <w:rFonts w:hint="eastAsia" w:ascii="方正楷体_GBK" w:hAnsi="方正楷体_GBK" w:eastAsia="方正楷体_GBK" w:cs="方正楷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15</w:t>
      </w:r>
      <w:r>
        <w:rPr>
          <w:rFonts w:hint="eastAsia" w:ascii="方正黑体_GBK" w:hAnsi="方正黑体_GBK" w:eastAsia="方正黑体_GBK" w:cs="方正黑体_GBK"/>
          <w:sz w:val="32"/>
          <w:szCs w:val="32"/>
        </w:rPr>
        <w:t>：同位素标记法探索罗布泊矿区卤水流场研究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国投新疆罗布泊钾盐有限责任公司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项目专员：董广峰（13565700087）、马松亮（13677591743）</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推荐出</w:t>
      </w: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zh-TW" w:eastAsia="zh-TW"/>
        </w:rPr>
        <w:t>种以上适合罗布泊盐湖地质特征及卤水物化性质的示踪标记材料，示踪材料须无毒无臭不含重金属，放射性同位素放射剂量</w:t>
      </w:r>
      <w:r>
        <w:rPr>
          <w:rFonts w:hint="eastAsia" w:ascii="方正仿宋_GBK" w:hAnsi="方正仿宋_GBK" w:eastAsia="方正仿宋_GBK" w:cs="方正仿宋_GBK"/>
          <w:b w:val="0"/>
          <w:bCs w:val="0"/>
          <w:sz w:val="32"/>
          <w:szCs w:val="32"/>
        </w:rPr>
        <w:t>H≤2.5μSv/h</w:t>
      </w:r>
      <w:r>
        <w:rPr>
          <w:rFonts w:hint="eastAsia" w:ascii="方正仿宋_GBK" w:hAnsi="方正仿宋_GBK" w:eastAsia="方正仿宋_GBK" w:cs="方正仿宋_GBK"/>
          <w:b w:val="0"/>
          <w:bCs w:val="0"/>
          <w:sz w:val="32"/>
          <w:szCs w:val="32"/>
          <w:lang w:val="zh-TW" w:eastAsia="zh-TW"/>
        </w:rPr>
        <w:t>；</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w:t>
      </w:r>
      <w:r>
        <w:rPr>
          <w:rFonts w:hint="eastAsia" w:ascii="方正仿宋_GBK" w:hAnsi="方正仿宋_GBK" w:eastAsia="方正仿宋_GBK" w:cs="方正仿宋_GBK"/>
          <w:b w:val="0"/>
          <w:bCs w:val="0"/>
          <w:sz w:val="32"/>
          <w:szCs w:val="32"/>
          <w:lang w:val="zh-TW" w:eastAsia="zh-TW"/>
        </w:rPr>
        <w:t>建立盐湖地下水流场及采输卤</w:t>
      </w:r>
      <w:r>
        <w:rPr>
          <w:rFonts w:hint="eastAsia" w:ascii="方正仿宋_GBK" w:hAnsi="方正仿宋_GBK" w:eastAsia="方正仿宋_GBK" w:cs="方正仿宋_GBK"/>
          <w:b w:val="0"/>
          <w:bCs w:val="0"/>
          <w:sz w:val="32"/>
          <w:szCs w:val="32"/>
        </w:rPr>
        <w:t>-</w:t>
      </w:r>
      <w:r>
        <w:rPr>
          <w:rFonts w:hint="eastAsia" w:ascii="方正仿宋_GBK" w:hAnsi="方正仿宋_GBK" w:eastAsia="方正仿宋_GBK" w:cs="方正仿宋_GBK"/>
          <w:b w:val="0"/>
          <w:bCs w:val="0"/>
          <w:sz w:val="32"/>
          <w:szCs w:val="32"/>
          <w:lang w:val="zh-TW" w:eastAsia="zh-TW"/>
        </w:rPr>
        <w:t>盐田工程渗漏地下水流场，准确揭示</w:t>
      </w:r>
      <w:r>
        <w:rPr>
          <w:rFonts w:hint="eastAsia" w:ascii="方正仿宋_GBK" w:hAnsi="方正仿宋_GBK" w:eastAsia="方正仿宋_GBK" w:cs="方正仿宋_GBK"/>
          <w:b w:val="0"/>
          <w:bCs w:val="0"/>
          <w:sz w:val="32"/>
          <w:szCs w:val="32"/>
        </w:rPr>
        <w:t>80%</w:t>
      </w:r>
      <w:r>
        <w:rPr>
          <w:rFonts w:hint="eastAsia" w:ascii="方正仿宋_GBK" w:hAnsi="方正仿宋_GBK" w:eastAsia="方正仿宋_GBK" w:cs="方正仿宋_GBK"/>
          <w:b w:val="0"/>
          <w:bCs w:val="0"/>
          <w:sz w:val="32"/>
          <w:szCs w:val="32"/>
          <w:lang w:val="zh-TW" w:eastAsia="zh-TW"/>
        </w:rPr>
        <w:t>以上渗漏卤水走向；</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w:t>
      </w:r>
      <w:r>
        <w:rPr>
          <w:rFonts w:hint="eastAsia" w:ascii="方正仿宋_GBK" w:hAnsi="方正仿宋_GBK" w:eastAsia="方正仿宋_GBK" w:cs="方正仿宋_GBK"/>
          <w:b w:val="0"/>
          <w:bCs w:val="0"/>
          <w:sz w:val="32"/>
          <w:szCs w:val="32"/>
          <w:lang w:val="zh-TW" w:eastAsia="zh-TW"/>
        </w:rPr>
        <w:t>估算出现有罗布泊盐湖区卤水资源量，年度卤水资源补给量；建立</w:t>
      </w:r>
      <w:r>
        <w:rPr>
          <w:rFonts w:hint="eastAsia" w:ascii="方正仿宋_GBK" w:hAnsi="方正仿宋_GBK" w:eastAsia="方正仿宋_GBK" w:cs="方正仿宋_GBK"/>
          <w:b w:val="0"/>
          <w:bCs w:val="0"/>
          <w:sz w:val="32"/>
          <w:szCs w:val="32"/>
        </w:rPr>
        <w:t>2023-2033</w:t>
      </w:r>
      <w:r>
        <w:rPr>
          <w:rFonts w:hint="eastAsia" w:ascii="方正仿宋_GBK" w:hAnsi="方正仿宋_GBK" w:eastAsia="方正仿宋_GBK" w:cs="方正仿宋_GBK"/>
          <w:b w:val="0"/>
          <w:bCs w:val="0"/>
          <w:sz w:val="32"/>
          <w:szCs w:val="32"/>
          <w:lang w:val="zh-TW" w:eastAsia="zh-TW"/>
        </w:rPr>
        <w:t>年（未来</w:t>
      </w:r>
      <w:r>
        <w:rPr>
          <w:rFonts w:hint="eastAsia" w:ascii="方正仿宋_GBK" w:hAnsi="方正仿宋_GBK" w:eastAsia="方正仿宋_GBK" w:cs="方正仿宋_GBK"/>
          <w:b w:val="0"/>
          <w:bCs w:val="0"/>
          <w:sz w:val="32"/>
          <w:szCs w:val="32"/>
        </w:rPr>
        <w:t>10</w:t>
      </w:r>
      <w:r>
        <w:rPr>
          <w:rFonts w:hint="eastAsia" w:ascii="方正仿宋_GBK" w:hAnsi="方正仿宋_GBK" w:eastAsia="方正仿宋_GBK" w:cs="方正仿宋_GBK"/>
          <w:b w:val="0"/>
          <w:bCs w:val="0"/>
          <w:sz w:val="32"/>
          <w:szCs w:val="32"/>
          <w:lang w:val="zh-TW" w:eastAsia="zh-TW"/>
        </w:rPr>
        <w:t>年）罗布泊地下卤水数值模拟模型。</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zh-TW" w:eastAsia="zh-TW"/>
        </w:rPr>
        <w:t>罗布泊盐湖盐田渗漏卤水示踪技术研究报告</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份，罗布泊补给水源调查研究及罗布泊地下卤水资源变化趋势调查研究报</w:t>
      </w:r>
      <w:r>
        <w:rPr>
          <w:rFonts w:hint="eastAsia" w:ascii="方正仿宋_GBK" w:hAnsi="方正仿宋_GBK" w:eastAsia="方正仿宋_GBK" w:cs="方正仿宋_GBK"/>
          <w:b w:val="0"/>
          <w:bCs w:val="0"/>
          <w:sz w:val="32"/>
          <w:szCs w:val="32"/>
          <w:lang w:val="zh-TW"/>
        </w:rPr>
        <w:t>告</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份，通过专家组审查的地下水流场分布图</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幅，</w:t>
      </w:r>
      <w:r>
        <w:rPr>
          <w:rFonts w:hint="eastAsia" w:ascii="方正仿宋_GBK" w:hAnsi="方正仿宋_GBK" w:eastAsia="方正仿宋_GBK" w:cs="方正仿宋_GBK"/>
          <w:b w:val="0"/>
          <w:bCs w:val="0"/>
          <w:sz w:val="32"/>
          <w:szCs w:val="32"/>
        </w:rPr>
        <w:t>2023-2033</w:t>
      </w:r>
      <w:r>
        <w:rPr>
          <w:rFonts w:hint="eastAsia" w:ascii="方正仿宋_GBK" w:hAnsi="方正仿宋_GBK" w:eastAsia="方正仿宋_GBK" w:cs="方正仿宋_GBK"/>
          <w:b w:val="0"/>
          <w:bCs w:val="0"/>
          <w:sz w:val="32"/>
          <w:szCs w:val="32"/>
          <w:lang w:val="zh-TW" w:eastAsia="zh-TW"/>
        </w:rPr>
        <w:t>年罗布泊地下卤水数值模拟模型及研究报告</w:t>
      </w: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zh-TW" w:eastAsia="zh-TW"/>
        </w:rPr>
        <w:t>份，围绕各项研究成果分别申请专利</w:t>
      </w:r>
      <w:r>
        <w:rPr>
          <w:rFonts w:hint="eastAsia" w:ascii="方正仿宋_GBK" w:hAnsi="方正仿宋_GBK" w:eastAsia="方正仿宋_GBK" w:cs="方正仿宋_GBK"/>
          <w:b w:val="0"/>
          <w:bCs w:val="0"/>
          <w:sz w:val="32"/>
          <w:szCs w:val="32"/>
        </w:rPr>
        <w:t>2-3</w:t>
      </w:r>
      <w:r>
        <w:rPr>
          <w:rFonts w:hint="eastAsia" w:ascii="方正仿宋_GBK" w:hAnsi="方正仿宋_GBK" w:eastAsia="方正仿宋_GBK" w:cs="方正仿宋_GBK"/>
          <w:b w:val="0"/>
          <w:bCs w:val="0"/>
          <w:sz w:val="32"/>
          <w:szCs w:val="32"/>
          <w:lang w:val="zh-TW" w:eastAsia="zh-TW"/>
        </w:rPr>
        <w:t>项（知识产权及科技成果归属权为揭榜方和发榜方双方共有）。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val="zh-TW" w:eastAsia="zh-TW"/>
        </w:rPr>
      </w:pPr>
      <w:r>
        <w:rPr>
          <w:rFonts w:hint="eastAsia" w:ascii="方正仿宋_GBK" w:hAnsi="方正仿宋_GBK" w:eastAsia="方正仿宋_GBK" w:cs="方正仿宋_GBK"/>
          <w:b w:val="0"/>
          <w:bCs w:val="0"/>
          <w:sz w:val="32"/>
          <w:szCs w:val="32"/>
          <w:lang w:val="zh-TW" w:eastAsia="zh-TW"/>
        </w:rPr>
        <w:t>以上述任务列出的技术指标和成果形式作为验收的主要依据，揭榜方申请发明专利应取得受理通知书；项目研究报告应通过技术专家联合评审；机理和模型研究、仿真及算法等成果以第三方研究单位出具的复核验证结果为最终验收指标。</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hAnsi="方正仿宋_GBK" w:eastAsia="方正仿宋_GBK" w:cs="方正仿宋_GBK"/>
          <w:sz w:val="32"/>
          <w:szCs w:val="32"/>
        </w:rPr>
      </w:pPr>
      <w:r>
        <w:rPr>
          <w:rFonts w:hint="eastAsia" w:ascii="方正仿宋_GBK" w:hAnsi="方正仿宋_GBK" w:eastAsia="方正仿宋_GBK" w:cs="方正仿宋_GBK"/>
          <w:sz w:val="32"/>
          <w:szCs w:val="32"/>
        </w:rPr>
        <w:t>项目实施周期为2年；揭榜金额</w:t>
      </w:r>
      <w:r>
        <w:rPr>
          <w:rFonts w:hint="eastAsia" w:ascii="方正仿宋_GBK" w:hAnsi="方正仿宋_GBK" w:eastAsia="方正仿宋_GBK" w:cs="方正仿宋_GBK"/>
          <w:sz w:val="32"/>
          <w:szCs w:val="32"/>
          <w:lang w:eastAsia="zh-CN"/>
        </w:rPr>
        <w:t>不超过</w:t>
      </w:r>
      <w:r>
        <w:rPr>
          <w:rFonts w:hint="eastAsia" w:ascii="方正仿宋_GBK" w:hAnsi="方正仿宋_GBK" w:eastAsia="方正仿宋_GBK" w:cs="方正仿宋_GBK"/>
          <w:sz w:val="32"/>
          <w:szCs w:val="32"/>
        </w:rPr>
        <w:t>500万元。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center"/>
        <w:textAlignment w:val="auto"/>
        <w:outlineLvl w:val="0"/>
        <w:rPr>
          <w:rFonts w:hint="eastAsia" w:ascii="方正黑体_GBK" w:hAnsi="方正黑体_GBK" w:eastAsia="方正黑体_GBK" w:cs="方正黑体_GBK"/>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16</w:t>
      </w:r>
      <w:r>
        <w:rPr>
          <w:rFonts w:hint="eastAsia" w:ascii="方正黑体_GBK" w:hAnsi="方正黑体_GBK" w:eastAsia="方正黑体_GBK" w:cs="方正黑体_GBK"/>
          <w:sz w:val="32"/>
          <w:szCs w:val="32"/>
        </w:rPr>
        <w:t>：细粒级难处理铁资源粗精矿高纯度提纯工</w:t>
      </w:r>
    </w:p>
    <w:p>
      <w:pPr>
        <w:keepNext w:val="0"/>
        <w:keepLines w:val="0"/>
        <w:pageBreakBefore w:val="0"/>
        <w:widowControl w:val="0"/>
        <w:kinsoku/>
        <w:wordWrap/>
        <w:overflowPunct/>
        <w:topLinePunct w:val="0"/>
        <w:autoSpaceDE/>
        <w:autoSpaceDN/>
        <w:bidi w:val="0"/>
        <w:adjustRightInd/>
        <w:snapToGrid/>
        <w:spacing w:line="500" w:lineRule="exact"/>
        <w:ind w:firstLine="2560" w:firstLineChars="8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艺技术及装备研究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新疆大明矿业集团股份有限公司</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项目专员：张龙（13899855595）</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二、需求内容及技术指标要求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1</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铁资源粗精矿提纯的整套工艺技术、设备和控制系统配套的各项设施的研究、设计，实现将现行选矿工艺技术选别后TFe（40%～50%）铁精矿提纯至62%。根据矿石工艺矿物学性质实现一些粗精粉提纯至70.5%以上。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2.超细粒磨矿作业达到的技术指标和参数</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根据矿石解离的粒度，控制磨矿细度-200～-500目达到75%～80%。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3.研发超细粒磁选技术及装备——全自动超声波脉动磁选机</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磁选作业为磁重联合分选作业，溢流产品细度在-200到-500目左右；经过超细粒磁选作业的同时，完成脱泥作业。</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rPr>
        <w:t>4.研发超细粒铁矿浆浓密脱水装备——无动力浅槽深锥浓密机，压榨带式过滤机技术指标和参数：在-500目超细粒度下</w:t>
      </w:r>
      <w:r>
        <w:rPr>
          <w:rFonts w:hint="eastAsia" w:ascii="方正仿宋_GBK" w:hAnsi="方正仿宋_GBK" w:eastAsia="方正仿宋_GBK" w:cs="方正仿宋_GBK"/>
          <w:b w:val="0"/>
          <w:bCs w:val="0"/>
          <w:sz w:val="32"/>
          <w:szCs w:val="32"/>
          <w:lang w:eastAsia="zh-CN"/>
        </w:rPr>
        <w:t>，</w:t>
      </w:r>
      <w:r>
        <w:rPr>
          <w:rFonts w:hint="eastAsia" w:ascii="方正仿宋_GBK" w:hAnsi="方正仿宋_GBK" w:eastAsia="方正仿宋_GBK" w:cs="方正仿宋_GBK"/>
          <w:b w:val="0"/>
          <w:bCs w:val="0"/>
          <w:sz w:val="32"/>
          <w:szCs w:val="32"/>
        </w:rPr>
        <w:t>底流浓度达40%，溢流水固体含量10%。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三、预期成果形式</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1.</w:t>
      </w:r>
      <w:r>
        <w:rPr>
          <w:rFonts w:hint="eastAsia" w:ascii="方正仿宋_GBK" w:hAnsi="方正仿宋_GBK" w:eastAsia="方正仿宋_GBK" w:cs="方正仿宋_GBK"/>
          <w:b w:val="0"/>
          <w:bCs w:val="0"/>
          <w:sz w:val="32"/>
          <w:szCs w:val="32"/>
        </w:rPr>
        <w:t>预期在新型立磨研磨机理及结构理论、超声波打散技术创新应用、无动力高效浅槽叠加式浓密机结构等方向受理2</w:t>
      </w:r>
      <w:r>
        <w:rPr>
          <w:rFonts w:hint="eastAsia" w:ascii="方正仿宋_GBK" w:hAnsi="方正仿宋_GBK" w:eastAsia="方正仿宋_GBK" w:cs="方正仿宋_GBK"/>
          <w:b w:val="0"/>
          <w:bCs w:val="0"/>
          <w:sz w:val="32"/>
          <w:szCs w:val="32"/>
          <w:lang w:val="en-US" w:eastAsia="zh-CN"/>
        </w:rPr>
        <w:t>-</w:t>
      </w:r>
      <w:r>
        <w:rPr>
          <w:rFonts w:hint="eastAsia" w:ascii="方正仿宋_GBK" w:hAnsi="方正仿宋_GBK" w:eastAsia="方正仿宋_GBK" w:cs="方正仿宋_GBK"/>
          <w:b w:val="0"/>
          <w:bCs w:val="0"/>
          <w:sz w:val="32"/>
          <w:szCs w:val="32"/>
        </w:rPr>
        <w:t>3件发明专利。</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2.</w:t>
      </w:r>
      <w:r>
        <w:rPr>
          <w:rFonts w:hint="eastAsia" w:ascii="方正仿宋_GBK" w:hAnsi="方正仿宋_GBK" w:eastAsia="方正仿宋_GBK" w:cs="方正仿宋_GBK"/>
          <w:b w:val="0"/>
          <w:bCs w:val="0"/>
          <w:sz w:val="32"/>
          <w:szCs w:val="32"/>
        </w:rPr>
        <w:t>在研磨机理、立磨机运动学动力学、提高磁性铁矿分选效果、物料性质（流量、粒度、密度等）与沉降特性之间的关系以及生产工艺技术等方面发表高质量学术论文6篇以上。</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3.</w:t>
      </w:r>
      <w:r>
        <w:rPr>
          <w:rFonts w:hint="eastAsia" w:ascii="方正仿宋_GBK" w:hAnsi="方正仿宋_GBK" w:eastAsia="方正仿宋_GBK" w:cs="方正仿宋_GBK"/>
          <w:b w:val="0"/>
          <w:bCs w:val="0"/>
          <w:sz w:val="32"/>
          <w:szCs w:val="32"/>
        </w:rPr>
        <w:t>形成超细节能搅拌磨、全自动超声波脉动磁选机、无动力高效浅槽叠加式浓缩机等3台（套）工业试验样机。</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4.</w:t>
      </w:r>
      <w:r>
        <w:rPr>
          <w:rFonts w:hint="eastAsia" w:ascii="方正仿宋_GBK" w:hAnsi="方正仿宋_GBK" w:eastAsia="方正仿宋_GBK" w:cs="方正仿宋_GBK"/>
          <w:b w:val="0"/>
          <w:bCs w:val="0"/>
          <w:sz w:val="32"/>
          <w:szCs w:val="32"/>
        </w:rPr>
        <w:t>形成粗精矿提纯完整的工艺技术包，包括：工艺技术、装备、产业化技术及工程应用技术。</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rPr>
      </w:pPr>
      <w:r>
        <w:rPr>
          <w:rFonts w:hint="eastAsia" w:ascii="方正仿宋_GBK" w:hAnsi="方正仿宋_GBK" w:eastAsia="方正仿宋_GBK" w:cs="方正仿宋_GBK"/>
          <w:b w:val="0"/>
          <w:bCs w:val="0"/>
          <w:sz w:val="32"/>
          <w:szCs w:val="32"/>
          <w:lang w:val="en-US" w:eastAsia="zh-CN"/>
        </w:rPr>
        <w:t>5.</w:t>
      </w:r>
      <w:r>
        <w:rPr>
          <w:rFonts w:hint="eastAsia" w:ascii="方正仿宋_GBK" w:hAnsi="方正仿宋_GBK" w:eastAsia="方正仿宋_GBK" w:cs="方正仿宋_GBK"/>
          <w:b w:val="0"/>
          <w:bCs w:val="0"/>
          <w:sz w:val="32"/>
          <w:szCs w:val="32"/>
        </w:rPr>
        <w:t>提高现有科技成果的成熟性、配套性和工程化水平，为企业高质量发展、提质增效提供技术支撑。</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四、交付条件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val="0"/>
          <w:bCs w:val="0"/>
          <w:sz w:val="32"/>
          <w:szCs w:val="32"/>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采用专家出具评审意见的方式对研究开发成果进行验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五、项目实施周期及揭榜金额</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default" w:ascii="方正仿宋_GBK" w:eastAsia="方正仿宋_GBK"/>
          <w:color w:val="auto"/>
          <w:sz w:val="32"/>
          <w:szCs w:val="32"/>
          <w:lang w:val="en-US" w:eastAsia="zh-CN"/>
        </w:rPr>
      </w:pPr>
      <w:r>
        <w:rPr>
          <w:rFonts w:hint="eastAsia" w:ascii="方正仿宋_GBK" w:eastAsia="方正仿宋_GBK"/>
          <w:sz w:val="32"/>
          <w:szCs w:val="32"/>
        </w:rPr>
        <w:t>项目实施周期：</w:t>
      </w:r>
      <w:r>
        <w:rPr>
          <w:rFonts w:ascii="方正仿宋_GBK" w:eastAsia="方正仿宋_GBK"/>
          <w:sz w:val="32"/>
          <w:szCs w:val="32"/>
        </w:rPr>
        <w:t>3</w:t>
      </w:r>
      <w:r>
        <w:rPr>
          <w:rFonts w:hint="eastAsia" w:ascii="方正仿宋_GBK" w:eastAsia="方正仿宋_GBK"/>
          <w:sz w:val="32"/>
          <w:szCs w:val="32"/>
        </w:rPr>
        <w:t>年</w:t>
      </w:r>
      <w:r>
        <w:rPr>
          <w:rFonts w:hint="eastAsia" w:ascii="方正仿宋_GBK" w:eastAsia="方正仿宋_GBK"/>
          <w:sz w:val="32"/>
          <w:szCs w:val="32"/>
          <w:lang w:eastAsia="zh-CN"/>
        </w:rPr>
        <w:t>；</w:t>
      </w:r>
      <w:r>
        <w:rPr>
          <w:rFonts w:hint="eastAsia" w:ascii="方正仿宋_GBK" w:eastAsia="方正仿宋_GBK"/>
          <w:color w:val="auto"/>
          <w:sz w:val="32"/>
          <w:szCs w:val="32"/>
        </w:rPr>
        <w:t>揭榜金额</w:t>
      </w:r>
      <w:r>
        <w:rPr>
          <w:rFonts w:hint="eastAsia" w:ascii="方正仿宋_GBK" w:eastAsia="方正仿宋_GBK"/>
          <w:color w:val="auto"/>
          <w:sz w:val="32"/>
          <w:szCs w:val="32"/>
          <w:lang w:eastAsia="zh-CN"/>
        </w:rPr>
        <w:t>不超过</w:t>
      </w:r>
      <w:r>
        <w:rPr>
          <w:rFonts w:hint="eastAsia" w:ascii="方正仿宋_GBK" w:eastAsia="方正仿宋_GBK"/>
          <w:color w:val="auto"/>
          <w:sz w:val="32"/>
          <w:szCs w:val="32"/>
          <w:lang w:val="en-US" w:eastAsia="zh-CN"/>
        </w:rPr>
        <w:t>3200万元。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六、对揭榜方的要求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黑体_GBK" w:hAnsi="方正黑体_GBK" w:eastAsia="方正黑体_GBK" w:cs="方正黑体_GBK"/>
          <w:sz w:val="32"/>
          <w:szCs w:val="32"/>
          <w:lang w:val="en-US"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keepNext w:val="0"/>
        <w:keepLines w:val="0"/>
        <w:pageBreakBefore w:val="0"/>
        <w:widowControl w:val="0"/>
        <w:kinsoku/>
        <w:wordWrap/>
        <w:overflowPunct/>
        <w:topLinePunct w:val="0"/>
        <w:autoSpaceDE/>
        <w:autoSpaceDN/>
        <w:bidi w:val="0"/>
        <w:adjustRightInd/>
        <w:snapToGrid/>
        <w:spacing w:line="500" w:lineRule="exact"/>
        <w:jc w:val="both"/>
        <w:textAlignment w:val="auto"/>
        <w:outlineLvl w:val="0"/>
        <w:rPr>
          <w:rFonts w:hint="eastAsia" w:ascii="方正黑体_GBK" w:hAnsi="方正黑体_GBK" w:eastAsia="方正黑体_GBK" w:cs="方正黑体_GBK"/>
          <w:sz w:val="32"/>
          <w:szCs w:val="32"/>
        </w:rPr>
      </w:pP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both"/>
        <w:textAlignment w:val="auto"/>
        <w:outlineLvl w:val="0"/>
        <w:rPr>
          <w:rFonts w:hint="eastAsia" w:ascii="方正仿宋_GBK" w:hAnsi="方正仿宋_GBK" w:eastAsia="方正仿宋_GBK" w:cs="方正仿宋_GBK"/>
          <w:b/>
          <w:bCs/>
          <w:sz w:val="32"/>
          <w:szCs w:val="32"/>
        </w:rPr>
      </w:pPr>
      <w:r>
        <w:rPr>
          <w:rFonts w:hint="eastAsia" w:ascii="方正黑体_GBK" w:hAnsi="方正黑体_GBK" w:eastAsia="方正黑体_GBK" w:cs="方正黑体_GBK"/>
          <w:sz w:val="32"/>
          <w:szCs w:val="32"/>
        </w:rPr>
        <w:t>项目需求</w:t>
      </w:r>
      <w:r>
        <w:rPr>
          <w:rFonts w:hint="eastAsia" w:ascii="方正黑体_GBK" w:hAnsi="方正黑体_GBK" w:eastAsia="方正黑体_GBK" w:cs="方正黑体_GBK"/>
          <w:sz w:val="32"/>
          <w:szCs w:val="32"/>
          <w:lang w:val="en-US" w:eastAsia="zh-CN"/>
        </w:rPr>
        <w:t>17</w:t>
      </w:r>
      <w:r>
        <w:rPr>
          <w:rFonts w:hint="eastAsia" w:ascii="方正黑体_GBK" w:hAnsi="方正黑体_GBK" w:eastAsia="方正黑体_GBK" w:cs="方正黑体_GBK"/>
          <w:sz w:val="32"/>
          <w:szCs w:val="32"/>
        </w:rPr>
        <w:t>：新疆装配式桥梁设计与施工关键技术研究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rPr>
        <w:t>一、需求单位</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ascii="方正仿宋_GBK" w:eastAsia="方正仿宋_GBK"/>
          <w:sz w:val="32"/>
          <w:szCs w:val="32"/>
        </w:rPr>
      </w:pPr>
      <w:r>
        <w:rPr>
          <w:rFonts w:hint="eastAsia" w:ascii="方正仿宋_GBK" w:eastAsia="方正仿宋_GBK"/>
          <w:sz w:val="32"/>
          <w:szCs w:val="32"/>
        </w:rPr>
        <w:t xml:space="preserve">新疆交通建设集团股份有限公司 </w:t>
      </w:r>
    </w:p>
    <w:p>
      <w:pPr>
        <w:keepNext w:val="0"/>
        <w:keepLines w:val="0"/>
        <w:pageBreakBefore w:val="0"/>
        <w:kinsoku/>
        <w:wordWrap/>
        <w:overflowPunct/>
        <w:topLinePunct w:val="0"/>
        <w:autoSpaceDE/>
        <w:autoSpaceDN/>
        <w:bidi w:val="0"/>
        <w:adjustRightInd/>
        <w:spacing w:line="500" w:lineRule="exact"/>
        <w:ind w:firstLine="419" w:firstLineChars="131"/>
        <w:textAlignment w:val="auto"/>
        <w:rPr>
          <w:rFonts w:ascii="方正仿宋_GBK" w:eastAsia="方正仿宋_GBK"/>
          <w:sz w:val="32"/>
          <w:szCs w:val="32"/>
        </w:rPr>
      </w:pPr>
      <w:r>
        <w:rPr>
          <w:rFonts w:hint="eastAsia" w:ascii="方正仿宋_GBK" w:eastAsia="方正仿宋_GBK"/>
          <w:sz w:val="32"/>
          <w:szCs w:val="32"/>
        </w:rPr>
        <w:t>项目专员：王豫仲（16699240330）；施军（13609928950）</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二、需求内容及</w:t>
      </w:r>
      <w:r>
        <w:rPr>
          <w:rFonts w:hint="eastAsia" w:ascii="方正仿宋_GBK" w:hAnsi="方正仿宋_GBK" w:eastAsia="方正仿宋_GBK" w:cs="方正仿宋_GBK"/>
          <w:b/>
          <w:bCs/>
          <w:sz w:val="32"/>
          <w:szCs w:val="32"/>
        </w:rPr>
        <w:t>技术指标</w:t>
      </w:r>
      <w:r>
        <w:rPr>
          <w:rFonts w:hint="eastAsia" w:ascii="方正仿宋_GBK" w:hAnsi="方正仿宋_GBK" w:eastAsia="方正仿宋_GBK" w:cs="方正仿宋_GBK"/>
          <w:b/>
          <w:bCs/>
          <w:sz w:val="32"/>
          <w:szCs w:val="32"/>
          <w:lang w:eastAsia="zh-CN"/>
        </w:rPr>
        <w:t>要求</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1.对桥梁盖梁立柱的拼接方式进行理论设计分析和试验研究，满足高震区（8度区）的稳定性能要求；实现在无临时支架的条件下吊装和拼接250T至350T大盖梁；实现12m到20m高立柱的快速装配施工。</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2.形成利用新疆地产原材料抗压强度满足80～150Mpa的UHPC混凝土，提出低温环境下（0～-5℃）UHPC混凝土施工工艺；形成强度等级C40～C60，扩展度大于700mm自密实混凝土生产施工成套技术，成本应控制在同等级的普通混凝土的110%以内。</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3.提供智能化钢筋加工全套技术，实现全过程“智慧化”，物料配送、加工自动化率100%。钢筋加工精度小于2mm。</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val="0"/>
          <w:bCs w:val="0"/>
          <w:sz w:val="32"/>
          <w:szCs w:val="32"/>
          <w:lang w:eastAsia="zh-CN"/>
        </w:rPr>
        <w:t>4.实现预制装配桥梁构件全流程自动化控制，构件三维测量系统性误差不大于2mm，单个构件测量时间不超过5min，并可进行模拟预拼装和误差评价。</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三</w:t>
      </w:r>
      <w:r>
        <w:rPr>
          <w:rFonts w:hint="eastAsia" w:ascii="方正仿宋_GBK" w:hAnsi="方正仿宋_GBK" w:eastAsia="方正仿宋_GBK" w:cs="方正仿宋_GBK"/>
          <w:b/>
          <w:bCs/>
          <w:sz w:val="32"/>
          <w:szCs w:val="32"/>
        </w:rPr>
        <w:t>、</w:t>
      </w:r>
      <w:r>
        <w:rPr>
          <w:rFonts w:hint="eastAsia" w:ascii="方正仿宋_GBK" w:hAnsi="方正仿宋_GBK" w:eastAsia="方正仿宋_GBK" w:cs="方正仿宋_GBK"/>
          <w:b/>
          <w:bCs/>
          <w:sz w:val="32"/>
          <w:szCs w:val="32"/>
          <w:lang w:eastAsia="zh-CN"/>
        </w:rPr>
        <w:t>预期</w:t>
      </w:r>
      <w:r>
        <w:rPr>
          <w:rFonts w:hint="eastAsia" w:ascii="方正仿宋_GBK" w:hAnsi="方正仿宋_GBK" w:eastAsia="方正仿宋_GBK" w:cs="方正仿宋_GBK"/>
          <w:b/>
          <w:bCs/>
          <w:sz w:val="32"/>
          <w:szCs w:val="32"/>
        </w:rPr>
        <w:t>成果形式</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形成可满足技术需求的盖梁、高立柱的稳定性需求的成熟设计方案、施工工法；利用新疆本地建材分别形成UHPC、预制专用自密实混凝土材料的生产工艺2项、技术规范2项；形成钢筋加工全套软硬件技术体系；形成大尺寸装配式构件三维几何尺寸的高精度自动测量成套技术；围绕各项研究成果分别申请材料开发、工法应用、工装设备类专利不少于5项，知识产权及科技成果归属权为揭榜方和发榜方双方共有。</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四</w:t>
      </w:r>
      <w:r>
        <w:rPr>
          <w:rFonts w:hint="eastAsia" w:ascii="方正仿宋_GBK" w:hAnsi="方正仿宋_GBK" w:eastAsia="方正仿宋_GBK" w:cs="方正仿宋_GBK"/>
          <w:b/>
          <w:bCs/>
          <w:sz w:val="32"/>
          <w:szCs w:val="32"/>
        </w:rPr>
        <w:t>、交付条件</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jc w:val="left"/>
        <w:textAlignment w:val="auto"/>
        <w:outlineLvl w:val="1"/>
        <w:rPr>
          <w:rFonts w:hint="eastAsia" w:ascii="方正仿宋_GBK" w:hAnsi="方正仿宋_GBK" w:eastAsia="方正仿宋_GBK" w:cs="方正仿宋_GBK"/>
          <w:b w:val="0"/>
          <w:bCs w:val="0"/>
          <w:sz w:val="32"/>
          <w:szCs w:val="32"/>
          <w:lang w:eastAsia="zh-CN"/>
        </w:rPr>
      </w:pPr>
      <w:r>
        <w:rPr>
          <w:rFonts w:hint="eastAsia" w:ascii="方正仿宋_GBK" w:hAnsi="方正仿宋_GBK" w:eastAsia="方正仿宋_GBK" w:cs="方正仿宋_GBK"/>
          <w:b w:val="0"/>
          <w:bCs w:val="0"/>
          <w:sz w:val="32"/>
          <w:szCs w:val="32"/>
          <w:lang w:eastAsia="zh-CN"/>
        </w:rPr>
        <w:t>以上述分任务列出的考核指标和成果形式作为验收的主要依据。揭榜方申请发明专利应取得受理通知书；项目研究报告应通过技术专家联合评审。机理和模型研究、仿真及算法、优化设计等成果以通过物理试验验证且达到预期效果为最终验收指标。项目完成后，合同各方组成专家验收组，采用专家出具评审意见的方式对研究开发成果进行验收。</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lang w:eastAsia="zh-CN"/>
        </w:rPr>
      </w:pPr>
      <w:r>
        <w:rPr>
          <w:rFonts w:hint="eastAsia" w:ascii="方正仿宋_GBK" w:hAnsi="方正仿宋_GBK" w:eastAsia="方正仿宋_GBK" w:cs="方正仿宋_GBK"/>
          <w:b/>
          <w:bCs/>
          <w:sz w:val="32"/>
          <w:szCs w:val="32"/>
          <w:lang w:eastAsia="zh-CN"/>
        </w:rPr>
        <w:t>五</w:t>
      </w:r>
      <w:r>
        <w:rPr>
          <w:rFonts w:hint="eastAsia" w:ascii="方正仿宋_GBK" w:hAnsi="方正仿宋_GBK" w:eastAsia="方正仿宋_GBK" w:cs="方正仿宋_GBK"/>
          <w:b/>
          <w:bCs/>
          <w:sz w:val="32"/>
          <w:szCs w:val="32"/>
        </w:rPr>
        <w:t>、项目实施周期及</w:t>
      </w:r>
      <w:r>
        <w:rPr>
          <w:rFonts w:hint="eastAsia" w:ascii="方正仿宋_GBK" w:hAnsi="方正仿宋_GBK" w:eastAsia="方正仿宋_GBK" w:cs="方正仿宋_GBK"/>
          <w:b/>
          <w:bCs/>
          <w:sz w:val="32"/>
          <w:szCs w:val="32"/>
          <w:lang w:eastAsia="zh-CN"/>
        </w:rPr>
        <w:t>揭榜金额</w:t>
      </w:r>
    </w:p>
    <w:p>
      <w:pPr>
        <w:keepNext w:val="0"/>
        <w:keepLines w:val="0"/>
        <w:pageBreakBefore w:val="0"/>
        <w:kinsoku/>
        <w:wordWrap/>
        <w:overflowPunct/>
        <w:topLinePunct w:val="0"/>
        <w:autoSpaceDE/>
        <w:autoSpaceDN/>
        <w:bidi w:val="0"/>
        <w:adjustRightIn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项目实施周期为</w:t>
      </w:r>
      <w:r>
        <w:rPr>
          <w:rFonts w:hint="eastAsia" w:ascii="方正仿宋_GBK" w:eastAsia="方正仿宋_GBK"/>
          <w:sz w:val="32"/>
          <w:szCs w:val="32"/>
          <w:lang w:val="en-US" w:eastAsia="zh-CN"/>
        </w:rPr>
        <w:t>2.5</w:t>
      </w:r>
      <w:r>
        <w:rPr>
          <w:rFonts w:hint="eastAsia" w:ascii="方正仿宋_GBK" w:eastAsia="方正仿宋_GBK"/>
          <w:sz w:val="32"/>
          <w:szCs w:val="32"/>
          <w:lang w:eastAsia="zh-CN"/>
        </w:rPr>
        <w:t>年；揭榜金额不超过</w:t>
      </w:r>
      <w:r>
        <w:rPr>
          <w:rFonts w:hint="eastAsia" w:ascii="方正仿宋_GBK" w:eastAsia="方正仿宋_GBK"/>
          <w:sz w:val="32"/>
          <w:szCs w:val="32"/>
          <w:lang w:val="en-US" w:eastAsia="zh-CN"/>
        </w:rPr>
        <w:t>3000</w:t>
      </w:r>
      <w:r>
        <w:rPr>
          <w:rFonts w:hint="eastAsia" w:ascii="方正仿宋_GBK" w:eastAsia="方正仿宋_GBK"/>
          <w:sz w:val="32"/>
          <w:szCs w:val="32"/>
          <w:lang w:eastAsia="zh-CN"/>
        </w:rPr>
        <w:t>万元。</w:t>
      </w:r>
    </w:p>
    <w:p>
      <w:pPr>
        <w:keepNext w:val="0"/>
        <w:keepLines w:val="0"/>
        <w:pageBreakBefore w:val="0"/>
        <w:kinsoku/>
        <w:wordWrap/>
        <w:overflowPunct/>
        <w:topLinePunct w:val="0"/>
        <w:autoSpaceDE/>
        <w:autoSpaceDN/>
        <w:bidi w:val="0"/>
        <w:adjustRightInd/>
        <w:spacing w:line="500" w:lineRule="exact"/>
        <w:ind w:firstLine="640" w:firstLineChars="200"/>
        <w:jc w:val="left"/>
        <w:textAlignment w:val="auto"/>
        <w:outlineLvl w:val="1"/>
        <w:rPr>
          <w:rFonts w:hint="eastAsia" w:ascii="方正仿宋_GBK" w:hAnsi="方正仿宋_GBK" w:eastAsia="方正仿宋_GBK" w:cs="方正仿宋_GBK"/>
          <w:b/>
          <w:bCs/>
          <w:sz w:val="32"/>
          <w:szCs w:val="32"/>
        </w:rPr>
      </w:pPr>
      <w:r>
        <w:rPr>
          <w:rFonts w:hint="eastAsia" w:ascii="方正仿宋_GBK" w:hAnsi="方正仿宋_GBK" w:eastAsia="方正仿宋_GBK" w:cs="方正仿宋_GBK"/>
          <w:b/>
          <w:bCs/>
          <w:sz w:val="32"/>
          <w:szCs w:val="32"/>
          <w:lang w:eastAsia="zh-CN"/>
        </w:rPr>
        <w:t>六</w:t>
      </w:r>
      <w:r>
        <w:rPr>
          <w:rFonts w:hint="eastAsia" w:ascii="方正仿宋_GBK" w:hAnsi="方正仿宋_GBK" w:eastAsia="方正仿宋_GBK" w:cs="方正仿宋_GBK"/>
          <w:b/>
          <w:bCs/>
          <w:sz w:val="32"/>
          <w:szCs w:val="32"/>
        </w:rPr>
        <w:t>、对揭榜方的要求</w:t>
      </w:r>
    </w:p>
    <w:p>
      <w:pPr>
        <w:keepNext w:val="0"/>
        <w:keepLines w:val="0"/>
        <w:pageBreakBefore w:val="0"/>
        <w:widowControl w:val="0"/>
        <w:kinsoku/>
        <w:wordWrap/>
        <w:overflowPunct/>
        <w:topLinePunct w:val="0"/>
        <w:autoSpaceDE/>
        <w:autoSpaceDN/>
        <w:bidi w:val="0"/>
        <w:adjustRightInd/>
        <w:snapToGrid/>
        <w:spacing w:line="500" w:lineRule="exact"/>
        <w:ind w:firstLine="640" w:firstLineChars="200"/>
        <w:textAlignment w:val="auto"/>
        <w:rPr>
          <w:rFonts w:hint="eastAsia" w:ascii="方正仿宋_GBK" w:eastAsia="方正仿宋_GBK"/>
          <w:sz w:val="32"/>
          <w:szCs w:val="32"/>
          <w:lang w:eastAsia="zh-CN"/>
        </w:rPr>
      </w:pPr>
      <w:r>
        <w:rPr>
          <w:rFonts w:hint="eastAsia" w:ascii="方正仿宋_GBK" w:eastAsia="方正仿宋_GBK"/>
          <w:sz w:val="32"/>
          <w:szCs w:val="32"/>
          <w:lang w:eastAsia="zh-CN"/>
        </w:rPr>
        <w:t>揭榜方应具有独立的研发团队、配套的科研条件和自主研发实力，能按要求完成揭榜任务（具体要求请与项目专员联系）。</w:t>
      </w:r>
    </w:p>
    <w:p>
      <w:pPr>
        <w:pStyle w:val="2"/>
        <w:rPr>
          <w:rFonts w:hint="eastAsia" w:ascii="方正仿宋_GBK" w:eastAsia="方正仿宋_GBK"/>
          <w:sz w:val="32"/>
          <w:szCs w:val="32"/>
          <w:lang w:eastAsia="zh-CN"/>
        </w:rPr>
      </w:pPr>
    </w:p>
    <w:p>
      <w:pPr>
        <w:pStyle w:val="2"/>
        <w:rPr>
          <w:rFonts w:hint="eastAsia" w:ascii="方正仿宋_GBK" w:eastAsia="方正仿宋_GBK"/>
          <w:sz w:val="32"/>
          <w:szCs w:val="32"/>
          <w:lang w:eastAsia="zh-CN"/>
        </w:rPr>
      </w:pPr>
    </w:p>
    <w:p>
      <w:pPr>
        <w:pStyle w:val="2"/>
        <w:rPr>
          <w:rFonts w:hint="eastAsia" w:ascii="方正仿宋_GBK" w:eastAsia="方正仿宋_GBK"/>
          <w:sz w:val="32"/>
          <w:szCs w:val="32"/>
          <w:lang w:eastAsia="zh-CN"/>
        </w:rPr>
      </w:pPr>
    </w:p>
    <w:p>
      <w:pPr>
        <w:pStyle w:val="2"/>
        <w:rPr>
          <w:rFonts w:hint="eastAsia" w:ascii="方正仿宋_GBK" w:eastAsia="方正仿宋_GBK"/>
          <w:sz w:val="32"/>
          <w:szCs w:val="32"/>
          <w:lang w:eastAsia="zh-CN"/>
        </w:rPr>
      </w:pPr>
    </w:p>
    <w:p>
      <w:pPr>
        <w:rPr>
          <w:rFonts w:hint="eastAsia" w:ascii="方正仿宋_GBK" w:eastAsia="方正仿宋_GBK"/>
          <w:sz w:val="32"/>
          <w:szCs w:val="32"/>
          <w:lang w:eastAsia="zh-CN"/>
        </w:rPr>
      </w:pPr>
      <w:r>
        <w:rPr>
          <w:rFonts w:hint="eastAsia" w:ascii="方正仿宋_GBK" w:eastAsia="方正仿宋_GBK"/>
          <w:sz w:val="32"/>
          <w:szCs w:val="32"/>
          <w:lang w:eastAsia="zh-CN"/>
        </w:rPr>
        <w:br w:type="page"/>
      </w:r>
    </w:p>
    <w:p>
      <w:pPr>
        <w:jc w:val="left"/>
        <w:rPr>
          <w:rFonts w:hint="eastAsia" w:ascii="方正仿宋_GBK" w:hAnsi="方正仿宋_GBK" w:eastAsia="方正仿宋_GBK" w:cs="方正仿宋_GBK"/>
          <w:sz w:val="32"/>
          <w:szCs w:val="32"/>
          <w:lang w:val="en-US" w:eastAsia="zh-CN"/>
        </w:rPr>
      </w:pPr>
      <w:r>
        <w:rPr>
          <w:rFonts w:hint="eastAsia" w:ascii="方正仿宋_GBK" w:hAnsi="方正仿宋_GBK" w:eastAsia="方正仿宋_GBK" w:cs="方正仿宋_GBK"/>
          <w:sz w:val="32"/>
          <w:szCs w:val="32"/>
          <w:lang w:eastAsia="zh-CN"/>
        </w:rPr>
        <w:t>附件</w:t>
      </w:r>
      <w:r>
        <w:rPr>
          <w:rFonts w:hint="eastAsia" w:ascii="方正仿宋_GBK" w:hAnsi="方正仿宋_GBK" w:eastAsia="方正仿宋_GBK" w:cs="方正仿宋_GBK"/>
          <w:sz w:val="32"/>
          <w:szCs w:val="32"/>
          <w:lang w:val="en-US" w:eastAsia="zh-CN"/>
        </w:rPr>
        <w:t>2</w:t>
      </w:r>
    </w:p>
    <w:p>
      <w:pPr>
        <w:jc w:val="center"/>
        <w:rPr>
          <w:rFonts w:hint="eastAsia"/>
        </w:rPr>
      </w:pPr>
    </w:p>
    <w:p>
      <w:pPr>
        <w:jc w:val="center"/>
        <w:rPr>
          <w:rFonts w:hint="eastAsia"/>
        </w:rPr>
      </w:pPr>
    </w:p>
    <w:p>
      <w:pPr>
        <w:jc w:val="center"/>
        <w:rPr>
          <w:rFonts w:hint="eastAsia"/>
        </w:rPr>
      </w:pPr>
    </w:p>
    <w:p>
      <w:pPr>
        <w:jc w:val="center"/>
        <w:rPr>
          <w:rFonts w:hint="eastAsia"/>
        </w:rPr>
      </w:pPr>
    </w:p>
    <w:p>
      <w:pPr>
        <w:jc w:val="center"/>
        <w:outlineLvl w:val="0"/>
        <w:rPr>
          <w:rFonts w:hint="eastAsia" w:eastAsia="黑体"/>
          <w:b w:val="0"/>
          <w:bCs/>
          <w:sz w:val="44"/>
          <w:szCs w:val="44"/>
        </w:rPr>
      </w:pPr>
      <w:r>
        <w:rPr>
          <w:rFonts w:hint="eastAsia" w:eastAsia="黑体"/>
          <w:b w:val="0"/>
          <w:bCs/>
          <w:sz w:val="44"/>
          <w:szCs w:val="44"/>
        </w:rPr>
        <w:t>“揭榜挂帅”项目</w:t>
      </w:r>
      <w:r>
        <w:rPr>
          <w:rFonts w:hint="eastAsia" w:eastAsia="黑体"/>
          <w:b w:val="0"/>
          <w:bCs/>
          <w:sz w:val="44"/>
          <w:szCs w:val="44"/>
          <w:lang w:eastAsia="zh-CN"/>
        </w:rPr>
        <w:t>揭榜</w:t>
      </w:r>
      <w:r>
        <w:rPr>
          <w:rFonts w:hint="eastAsia" w:eastAsia="黑体"/>
          <w:b w:val="0"/>
          <w:bCs/>
          <w:sz w:val="44"/>
          <w:szCs w:val="44"/>
        </w:rPr>
        <w:t>申报书</w:t>
      </w:r>
    </w:p>
    <w:p>
      <w:pPr>
        <w:jc w:val="both"/>
        <w:rPr>
          <w:rFonts w:hint="eastAsia" w:eastAsia="黑体"/>
          <w:b/>
          <w:szCs w:val="28"/>
        </w:rPr>
      </w:pPr>
    </w:p>
    <w:p>
      <w:pPr>
        <w:jc w:val="center"/>
        <w:rPr>
          <w:rFonts w:hint="eastAsia" w:eastAsia="黑体"/>
          <w:b/>
          <w:szCs w:val="28"/>
        </w:rPr>
      </w:pPr>
    </w:p>
    <w:p>
      <w:pPr>
        <w:spacing w:line="760" w:lineRule="exact"/>
        <w:ind w:left="1154"/>
        <w:rPr>
          <w:rFonts w:hint="eastAsia"/>
        </w:rPr>
      </w:pPr>
      <w:r>
        <w:rPr>
          <w:rFonts w:hint="eastAsia"/>
        </w:rPr>
        <w:t xml:space="preserve">   </w:t>
      </w:r>
      <w:bookmarkStart w:id="1" w:name="OLE_LINK1"/>
      <w:r>
        <w:rPr>
          <w:rFonts w:hint="eastAsia"/>
        </w:rPr>
        <w:t xml:space="preserve">           </w:t>
      </w:r>
      <w:bookmarkEnd w:id="1"/>
      <w:r>
        <w:rPr>
          <w:rFonts w:hint="eastAsia"/>
        </w:rPr>
        <w:t xml:space="preserve">            </w:t>
      </w:r>
    </w:p>
    <w:p>
      <w:pPr>
        <w:spacing w:line="760" w:lineRule="exact"/>
        <w:ind w:left="840" w:leftChars="0" w:firstLine="0" w:firstLineChars="0"/>
        <w:rPr>
          <w:rFonts w:hint="eastAsia"/>
          <w:sz w:val="32"/>
          <w:szCs w:val="32"/>
        </w:rPr>
      </w:pPr>
      <w:r>
        <w:rPr>
          <w:rFonts w:hint="eastAsia"/>
          <w:sz w:val="32"/>
          <w:szCs w:val="32"/>
        </w:rPr>
        <w:t>项目名称</w:t>
      </w:r>
      <w:r>
        <w:rPr>
          <w:rFonts w:hint="eastAsia"/>
          <w:sz w:val="32"/>
          <w:szCs w:val="32"/>
          <w:u w:val="single"/>
        </w:rPr>
        <w:t xml:space="preserve">                                   </w:t>
      </w:r>
    </w:p>
    <w:p>
      <w:pPr>
        <w:spacing w:line="760" w:lineRule="exact"/>
        <w:ind w:left="840" w:leftChars="0" w:firstLine="0" w:firstLineChars="0"/>
        <w:rPr>
          <w:rFonts w:hint="eastAsia"/>
          <w:sz w:val="32"/>
          <w:szCs w:val="32"/>
          <w:u w:val="single"/>
        </w:rPr>
      </w:pPr>
      <w:r>
        <w:rPr>
          <w:rFonts w:hint="eastAsia"/>
          <w:sz w:val="32"/>
          <w:szCs w:val="32"/>
        </w:rPr>
        <w:t>实施周期</w:t>
      </w:r>
      <w:r>
        <w:rPr>
          <w:rFonts w:hint="eastAsia"/>
          <w:sz w:val="32"/>
          <w:szCs w:val="32"/>
          <w:u w:val="single"/>
        </w:rPr>
        <w:t xml:space="preserve">                                   </w:t>
      </w:r>
    </w:p>
    <w:p>
      <w:pPr>
        <w:spacing w:line="760" w:lineRule="exact"/>
        <w:ind w:left="840" w:leftChars="0" w:firstLine="0" w:firstLineChars="0"/>
        <w:rPr>
          <w:rFonts w:hint="eastAsia"/>
          <w:sz w:val="32"/>
          <w:szCs w:val="32"/>
        </w:rPr>
      </w:pPr>
      <w:r>
        <w:rPr>
          <w:rFonts w:hint="eastAsia"/>
          <w:sz w:val="32"/>
          <w:szCs w:val="32"/>
          <w:lang w:eastAsia="zh-CN"/>
        </w:rPr>
        <w:t>申报</w:t>
      </w:r>
      <w:r>
        <w:rPr>
          <w:rFonts w:hint="eastAsia"/>
          <w:sz w:val="32"/>
          <w:szCs w:val="32"/>
        </w:rPr>
        <w:t>单位</w:t>
      </w:r>
      <w:r>
        <w:rPr>
          <w:rFonts w:hint="eastAsia"/>
          <w:sz w:val="32"/>
          <w:szCs w:val="32"/>
          <w:u w:val="single"/>
        </w:rPr>
        <w:t xml:space="preserve">                             </w:t>
      </w:r>
      <w:r>
        <w:rPr>
          <w:rFonts w:hint="eastAsia"/>
          <w:sz w:val="32"/>
          <w:szCs w:val="32"/>
        </w:rPr>
        <w:t>（盖章）</w:t>
      </w:r>
    </w:p>
    <w:p>
      <w:pPr>
        <w:spacing w:line="760" w:lineRule="exact"/>
        <w:ind w:left="840" w:leftChars="0" w:firstLine="0" w:firstLineChars="0"/>
        <w:rPr>
          <w:rFonts w:hint="eastAsia"/>
          <w:sz w:val="32"/>
          <w:szCs w:val="32"/>
        </w:rPr>
      </w:pPr>
      <w:r>
        <w:rPr>
          <w:rFonts w:hint="eastAsia"/>
          <w:sz w:val="32"/>
          <w:szCs w:val="32"/>
        </w:rPr>
        <w:t>通讯地址</w:t>
      </w:r>
      <w:r>
        <w:rPr>
          <w:rFonts w:hint="eastAsia"/>
          <w:sz w:val="32"/>
          <w:szCs w:val="32"/>
          <w:u w:val="single"/>
        </w:rPr>
        <w:t xml:space="preserve">                                   </w:t>
      </w:r>
    </w:p>
    <w:p>
      <w:pPr>
        <w:spacing w:line="760" w:lineRule="exact"/>
        <w:ind w:left="840" w:leftChars="0" w:firstLine="0" w:firstLineChars="0"/>
        <w:rPr>
          <w:rFonts w:hint="eastAsia"/>
          <w:sz w:val="32"/>
          <w:szCs w:val="32"/>
        </w:rPr>
      </w:pPr>
      <w:r>
        <w:rPr>
          <w:rFonts w:hint="eastAsia"/>
          <w:sz w:val="32"/>
          <w:szCs w:val="32"/>
        </w:rPr>
        <w:t>联系电话</w:t>
      </w:r>
      <w:r>
        <w:rPr>
          <w:rFonts w:hint="eastAsia"/>
          <w:sz w:val="32"/>
          <w:szCs w:val="32"/>
          <w:u w:val="single"/>
        </w:rPr>
        <w:t xml:space="preserve">              </w:t>
      </w:r>
      <w:r>
        <w:rPr>
          <w:rFonts w:hint="eastAsia"/>
          <w:sz w:val="32"/>
          <w:szCs w:val="32"/>
        </w:rPr>
        <w:t>邮政编码</w:t>
      </w:r>
      <w:r>
        <w:rPr>
          <w:rFonts w:hint="eastAsia"/>
          <w:sz w:val="32"/>
          <w:szCs w:val="32"/>
          <w:u w:val="single"/>
        </w:rPr>
        <w:t xml:space="preserve">             </w:t>
      </w:r>
    </w:p>
    <w:p>
      <w:pPr>
        <w:spacing w:line="760" w:lineRule="exact"/>
        <w:ind w:left="840" w:leftChars="0" w:firstLine="0" w:firstLineChars="0"/>
        <w:rPr>
          <w:rFonts w:hint="eastAsia"/>
          <w:sz w:val="32"/>
          <w:szCs w:val="32"/>
          <w:u w:val="single"/>
        </w:rPr>
      </w:pPr>
      <w:r>
        <w:rPr>
          <w:rFonts w:hint="eastAsia"/>
          <w:sz w:val="32"/>
          <w:szCs w:val="32"/>
        </w:rPr>
        <w:t>项目责任人</w:t>
      </w:r>
      <w:r>
        <w:rPr>
          <w:rFonts w:hint="eastAsia"/>
          <w:sz w:val="32"/>
          <w:szCs w:val="32"/>
          <w:u w:val="single"/>
        </w:rPr>
        <w:t xml:space="preserve">                                 </w:t>
      </w:r>
    </w:p>
    <w:p>
      <w:pPr>
        <w:spacing w:line="760" w:lineRule="exact"/>
        <w:ind w:left="840" w:leftChars="0" w:firstLine="0" w:firstLineChars="0"/>
        <w:rPr>
          <w:rFonts w:hint="eastAsia"/>
          <w:sz w:val="32"/>
          <w:szCs w:val="32"/>
        </w:rPr>
      </w:pPr>
      <w:r>
        <w:rPr>
          <w:rFonts w:hint="eastAsia"/>
          <w:sz w:val="32"/>
          <w:szCs w:val="32"/>
        </w:rPr>
        <w:t>手    机</w:t>
      </w:r>
      <w:r>
        <w:rPr>
          <w:rFonts w:hint="eastAsia"/>
          <w:sz w:val="32"/>
          <w:szCs w:val="32"/>
          <w:u w:val="single"/>
        </w:rPr>
        <w:t xml:space="preserve">              </w:t>
      </w:r>
      <w:r>
        <w:rPr>
          <w:rFonts w:hint="eastAsia"/>
          <w:sz w:val="32"/>
          <w:szCs w:val="32"/>
        </w:rPr>
        <w:t>电子邮箱</w:t>
      </w:r>
      <w:r>
        <w:rPr>
          <w:rFonts w:hint="eastAsia"/>
          <w:sz w:val="32"/>
          <w:szCs w:val="32"/>
          <w:u w:val="single"/>
        </w:rPr>
        <w:t xml:space="preserve">             </w:t>
      </w:r>
    </w:p>
    <w:p>
      <w:pPr>
        <w:jc w:val="center"/>
        <w:rPr>
          <w:rFonts w:hint="eastAsia" w:eastAsia="宋体"/>
          <w:sz w:val="32"/>
          <w:szCs w:val="32"/>
        </w:rPr>
      </w:pPr>
    </w:p>
    <w:p>
      <w:pPr>
        <w:jc w:val="center"/>
        <w:rPr>
          <w:rFonts w:hint="eastAsia" w:eastAsia="宋体"/>
          <w:sz w:val="32"/>
          <w:szCs w:val="32"/>
        </w:rPr>
      </w:pPr>
    </w:p>
    <w:p>
      <w:pPr>
        <w:jc w:val="center"/>
        <w:rPr>
          <w:rFonts w:hint="eastAsia" w:eastAsia="宋体"/>
          <w:sz w:val="32"/>
          <w:szCs w:val="32"/>
        </w:rPr>
      </w:pPr>
      <w:r>
        <w:rPr>
          <w:rFonts w:hint="eastAsia" w:eastAsia="宋体"/>
          <w:sz w:val="32"/>
          <w:szCs w:val="32"/>
        </w:rPr>
        <w:t xml:space="preserve"> 年 </w:t>
      </w:r>
      <w:r>
        <w:rPr>
          <w:rFonts w:hint="eastAsia" w:eastAsia="宋体"/>
          <w:sz w:val="32"/>
          <w:szCs w:val="32"/>
          <w:lang w:val="en-US" w:eastAsia="zh-CN"/>
        </w:rPr>
        <w:t xml:space="preserve">  </w:t>
      </w:r>
      <w:r>
        <w:rPr>
          <w:rFonts w:hint="eastAsia" w:eastAsia="宋体"/>
          <w:sz w:val="32"/>
          <w:szCs w:val="32"/>
        </w:rPr>
        <w:t xml:space="preserve"> 月    日</w:t>
      </w:r>
    </w:p>
    <w:p>
      <w:pPr>
        <w:jc w:val="center"/>
        <w:rPr>
          <w:rFonts w:hint="eastAsia" w:ascii="黑体" w:eastAsia="黑体"/>
          <w:b/>
          <w:sz w:val="36"/>
        </w:rPr>
      </w:pPr>
      <w:r>
        <w:rPr>
          <w:rFonts w:hint="eastAsia" w:eastAsia="宋体"/>
          <w:sz w:val="32"/>
          <w:szCs w:val="32"/>
          <w:lang w:eastAsia="zh-CN"/>
        </w:rPr>
        <w:t>新疆维吾尔自治区科学技术厅</w:t>
      </w:r>
      <w:r>
        <w:rPr>
          <w:rFonts w:hint="eastAsia" w:eastAsia="宋体"/>
          <w:sz w:val="32"/>
          <w:szCs w:val="32"/>
          <w:lang w:val="en-US" w:eastAsia="zh-CN"/>
        </w:rPr>
        <w:t xml:space="preserve">  </w:t>
      </w:r>
      <w:r>
        <w:rPr>
          <w:rFonts w:hint="eastAsia" w:eastAsia="宋体"/>
          <w:sz w:val="32"/>
          <w:szCs w:val="32"/>
          <w:lang w:eastAsia="zh-CN"/>
        </w:rPr>
        <w:t>制</w:t>
      </w:r>
      <w:r>
        <w:rPr>
          <w:rFonts w:eastAsia="文鼎大标宋简"/>
          <w:b/>
          <w:sz w:val="36"/>
        </w:rPr>
        <w:br w:type="page"/>
      </w:r>
      <w:r>
        <w:rPr>
          <w:rFonts w:hint="eastAsia" w:ascii="黑体" w:eastAsia="黑体"/>
          <w:b/>
          <w:sz w:val="36"/>
        </w:rPr>
        <w:t>填写说明</w:t>
      </w:r>
    </w:p>
    <w:p>
      <w:pPr>
        <w:keepNext w:val="0"/>
        <w:keepLines w:val="0"/>
        <w:pageBreakBefore w:val="0"/>
        <w:widowControl w:val="0"/>
        <w:numPr>
          <w:ilvl w:val="0"/>
          <w:numId w:val="4"/>
        </w:numPr>
        <w:kinsoku/>
        <w:wordWrap/>
        <w:overflowPunct/>
        <w:topLinePunct w:val="0"/>
        <w:autoSpaceDE/>
        <w:autoSpaceDN/>
        <w:bidi w:val="0"/>
        <w:adjustRightInd/>
        <w:snapToGrid w:val="0"/>
        <w:spacing w:line="520" w:lineRule="atLeast"/>
        <w:ind w:left="0" w:leftChars="0" w:firstLine="420" w:firstLineChars="200"/>
        <w:textAlignment w:val="auto"/>
        <w:outlineLvl w:val="9"/>
        <w:rPr>
          <w:rFonts w:hint="eastAsia"/>
          <w:lang w:eastAsia="zh-CN"/>
        </w:rPr>
      </w:pPr>
      <w:r>
        <w:rPr>
          <w:rFonts w:hint="eastAsia"/>
        </w:rPr>
        <w:t>逐项编写</w:t>
      </w:r>
      <w:r>
        <w:rPr>
          <w:rFonts w:hint="eastAsia"/>
          <w:lang w:eastAsia="zh-CN"/>
        </w:rPr>
        <w:t>，不得为空。</w:t>
      </w:r>
    </w:p>
    <w:p>
      <w:pPr>
        <w:keepNext w:val="0"/>
        <w:keepLines w:val="0"/>
        <w:pageBreakBefore w:val="0"/>
        <w:widowControl w:val="0"/>
        <w:numPr>
          <w:ilvl w:val="0"/>
          <w:numId w:val="4"/>
        </w:numPr>
        <w:kinsoku/>
        <w:wordWrap/>
        <w:overflowPunct/>
        <w:topLinePunct w:val="0"/>
        <w:autoSpaceDE/>
        <w:autoSpaceDN/>
        <w:bidi w:val="0"/>
        <w:adjustRightInd/>
        <w:snapToGrid w:val="0"/>
        <w:spacing w:line="520" w:lineRule="atLeast"/>
        <w:ind w:left="0" w:leftChars="0" w:firstLine="420" w:firstLineChars="200"/>
        <w:textAlignment w:val="auto"/>
        <w:outlineLvl w:val="9"/>
      </w:pPr>
      <w:r>
        <w:rPr>
          <w:rFonts w:hint="eastAsia"/>
        </w:rPr>
        <w:t>表达要严谨清晰</w:t>
      </w:r>
      <w:r>
        <w:rPr>
          <w:rFonts w:hint="eastAsia"/>
          <w:lang w:eastAsia="zh-CN"/>
        </w:rPr>
        <w:t>，内容数据真实</w:t>
      </w:r>
      <w:r>
        <w:rPr>
          <w:rFonts w:hint="eastAsia"/>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520" w:lineRule="atLeast"/>
        <w:ind w:left="0" w:leftChars="0" w:firstLine="422" w:firstLineChars="200"/>
        <w:textAlignment w:val="auto"/>
        <w:outlineLvl w:val="9"/>
        <w:rPr>
          <w:rFonts w:hint="eastAsia"/>
          <w:lang w:eastAsia="zh-CN"/>
        </w:rPr>
      </w:pPr>
      <w:r>
        <w:rPr>
          <w:rFonts w:hint="eastAsia"/>
          <w:b/>
        </w:rPr>
        <w:t>请使用A</w:t>
      </w:r>
      <w:r>
        <w:rPr>
          <w:rFonts w:hint="eastAsia"/>
          <w:b/>
          <w:lang w:val="en-US" w:eastAsia="zh-CN"/>
        </w:rPr>
        <w:t>3</w:t>
      </w:r>
      <w:r>
        <w:rPr>
          <w:rFonts w:hint="eastAsia"/>
          <w:b/>
        </w:rPr>
        <w:t>纸双面印刷</w:t>
      </w:r>
      <w:r>
        <w:rPr>
          <w:rFonts w:hint="eastAsia"/>
          <w:b/>
          <w:lang w:eastAsia="zh-CN"/>
        </w:rPr>
        <w:t>，骑马订</w:t>
      </w:r>
      <w:r>
        <w:rPr>
          <w:rFonts w:hint="eastAsia"/>
          <w:b/>
        </w:rPr>
        <w:t>装订，普通纸质材料作为封面。</w:t>
      </w:r>
      <w:r>
        <w:rPr>
          <w:rFonts w:hint="eastAsia"/>
        </w:rPr>
        <w:t>一式</w:t>
      </w:r>
      <w:r>
        <w:rPr>
          <w:rFonts w:hint="eastAsia"/>
          <w:lang w:val="en-GB" w:eastAsia="zh-CN"/>
        </w:rPr>
        <w:t>五</w:t>
      </w:r>
      <w:r>
        <w:rPr>
          <w:rFonts w:hint="eastAsia"/>
        </w:rPr>
        <w:t>份报送</w:t>
      </w:r>
      <w:r>
        <w:rPr>
          <w:rFonts w:hint="eastAsia"/>
          <w:lang w:eastAsia="zh-CN"/>
        </w:rPr>
        <w:t>。</w:t>
      </w:r>
    </w:p>
    <w:p>
      <w:pPr>
        <w:keepNext w:val="0"/>
        <w:keepLines w:val="0"/>
        <w:pageBreakBefore w:val="0"/>
        <w:widowControl w:val="0"/>
        <w:numPr>
          <w:ilvl w:val="0"/>
          <w:numId w:val="4"/>
        </w:numPr>
        <w:kinsoku/>
        <w:wordWrap/>
        <w:overflowPunct/>
        <w:topLinePunct w:val="0"/>
        <w:autoSpaceDE/>
        <w:autoSpaceDN/>
        <w:bidi w:val="0"/>
        <w:adjustRightInd/>
        <w:snapToGrid w:val="0"/>
        <w:spacing w:line="520" w:lineRule="atLeast"/>
        <w:ind w:left="0" w:leftChars="0" w:firstLine="420" w:firstLineChars="200"/>
        <w:textAlignment w:val="auto"/>
        <w:outlineLvl w:val="9"/>
        <w:rPr>
          <w:rFonts w:hint="eastAsia"/>
          <w:lang w:eastAsia="zh-CN"/>
        </w:rPr>
      </w:pPr>
      <w:r>
        <w:rPr>
          <w:rFonts w:hint="eastAsia"/>
          <w:lang w:eastAsia="zh-CN"/>
        </w:rPr>
        <w:t>相关附件，</w:t>
      </w:r>
      <w:r>
        <w:rPr>
          <w:rFonts w:hint="eastAsia"/>
          <w:b/>
        </w:rPr>
        <w:t>请使用双面印刷，普通纸质材料作为封面。</w:t>
      </w:r>
      <w:r>
        <w:rPr>
          <w:rFonts w:hint="eastAsia"/>
        </w:rPr>
        <w:t>一式</w:t>
      </w:r>
      <w:r>
        <w:rPr>
          <w:rFonts w:hint="eastAsia"/>
          <w:lang w:val="en-GB" w:eastAsia="zh-CN"/>
        </w:rPr>
        <w:t>二</w:t>
      </w:r>
      <w:r>
        <w:rPr>
          <w:rFonts w:hint="eastAsia"/>
        </w:rPr>
        <w:t>份报送</w:t>
      </w:r>
      <w:r>
        <w:rPr>
          <w:rFonts w:hint="eastAsia"/>
          <w:lang w:eastAsia="zh-CN"/>
        </w:rPr>
        <w:t>：</w:t>
      </w:r>
    </w:p>
    <w:p>
      <w:pPr>
        <w:numPr>
          <w:ilvl w:val="0"/>
          <w:numId w:val="5"/>
        </w:numPr>
        <w:snapToGrid w:val="0"/>
        <w:spacing w:line="520" w:lineRule="atLeast"/>
        <w:ind w:left="560" w:leftChars="0"/>
        <w:rPr>
          <w:rFonts w:hint="eastAsia"/>
          <w:lang w:val="en-US" w:eastAsia="zh-CN"/>
        </w:rPr>
      </w:pPr>
      <w:r>
        <w:rPr>
          <w:rFonts w:hint="eastAsia"/>
          <w:lang w:val="en-US" w:eastAsia="zh-CN"/>
        </w:rPr>
        <w:t>营业执照复印件</w:t>
      </w:r>
    </w:p>
    <w:p>
      <w:pPr>
        <w:numPr>
          <w:ilvl w:val="0"/>
          <w:numId w:val="5"/>
        </w:numPr>
        <w:snapToGrid w:val="0"/>
        <w:spacing w:line="520" w:lineRule="atLeast"/>
        <w:ind w:left="560" w:leftChars="0"/>
        <w:rPr>
          <w:rFonts w:hint="default"/>
          <w:lang w:val="en-US" w:eastAsia="zh-CN"/>
        </w:rPr>
      </w:pPr>
      <w:r>
        <w:rPr>
          <w:rFonts w:hint="eastAsia"/>
          <w:lang w:val="en-US" w:eastAsia="zh-CN"/>
        </w:rPr>
        <w:t>法人机构代码证复印件</w:t>
      </w:r>
    </w:p>
    <w:p>
      <w:pPr>
        <w:numPr>
          <w:ilvl w:val="0"/>
          <w:numId w:val="5"/>
        </w:numPr>
        <w:snapToGrid w:val="0"/>
        <w:spacing w:line="520" w:lineRule="atLeast"/>
        <w:ind w:left="560" w:leftChars="0"/>
        <w:rPr>
          <w:rFonts w:hint="default"/>
          <w:lang w:val="en-US" w:eastAsia="zh-CN"/>
        </w:rPr>
      </w:pPr>
      <w:r>
        <w:rPr>
          <w:rFonts w:hint="eastAsia"/>
          <w:lang w:val="en-US" w:eastAsia="zh-CN"/>
        </w:rPr>
        <w:t>最近三年的年度审计报告复印件</w:t>
      </w:r>
    </w:p>
    <w:p>
      <w:pPr>
        <w:numPr>
          <w:ilvl w:val="0"/>
          <w:numId w:val="5"/>
        </w:numPr>
        <w:snapToGrid w:val="0"/>
        <w:spacing w:line="520" w:lineRule="atLeast"/>
        <w:ind w:left="560" w:leftChars="0"/>
        <w:rPr>
          <w:rFonts w:hint="default"/>
          <w:lang w:val="en-US" w:eastAsia="zh-CN"/>
        </w:rPr>
      </w:pPr>
      <w:r>
        <w:rPr>
          <w:rFonts w:hint="eastAsia"/>
          <w:lang w:val="en-US" w:eastAsia="zh-CN"/>
        </w:rPr>
        <w:t>社会信用证明复印件</w:t>
      </w:r>
    </w:p>
    <w:p>
      <w:pPr>
        <w:snapToGrid w:val="0"/>
        <w:spacing w:line="520" w:lineRule="atLeast"/>
        <w:ind w:firstLine="560"/>
        <w:rPr>
          <w:rFonts w:hint="eastAsia"/>
        </w:rPr>
      </w:pPr>
    </w:p>
    <w:p>
      <w:pPr>
        <w:spacing w:line="360" w:lineRule="exact"/>
        <w:jc w:val="center"/>
        <w:rPr>
          <w:rFonts w:hint="eastAsia" w:eastAsia="黑体"/>
          <w:b w:val="0"/>
          <w:bCs/>
        </w:rPr>
      </w:pPr>
      <w:r>
        <w:rPr>
          <w:rFonts w:eastAsia="黑体"/>
          <w:b/>
        </w:rPr>
        <w:br w:type="page"/>
      </w:r>
      <w:r>
        <w:rPr>
          <w:rFonts w:hint="eastAsia" w:eastAsia="黑体"/>
          <w:b w:val="0"/>
          <w:bCs/>
        </w:rPr>
        <w:t>揭榜单位基本情况表</w:t>
      </w:r>
    </w:p>
    <w:tbl>
      <w:tblPr>
        <w:tblStyle w:val="7"/>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0" w:type="dxa"/>
          <w:bottom w:w="0" w:type="dxa"/>
          <w:right w:w="0" w:type="dxa"/>
        </w:tblCellMar>
      </w:tblPr>
      <w:tblGrid>
        <w:gridCol w:w="737"/>
        <w:gridCol w:w="756"/>
        <w:gridCol w:w="1153"/>
        <w:gridCol w:w="547"/>
        <w:gridCol w:w="544"/>
        <w:gridCol w:w="1007"/>
        <w:gridCol w:w="1259"/>
        <w:gridCol w:w="1029"/>
        <w:gridCol w:w="614"/>
        <w:gridCol w:w="339"/>
        <w:gridCol w:w="97"/>
        <w:gridCol w:w="87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eastAsia="宋体" w:cs="宋体"/>
                <w:b/>
                <w:sz w:val="24"/>
              </w:rPr>
            </w:pPr>
            <w:r>
              <w:rPr>
                <w:rFonts w:hint="eastAsia" w:ascii="宋体" w:hAnsi="宋体" w:cs="宋体"/>
                <w:b/>
                <w:sz w:val="24"/>
              </w:rPr>
              <w:t>单位名称</w:t>
            </w:r>
          </w:p>
        </w:tc>
        <w:tc>
          <w:tcPr>
            <w:tcW w:w="7468" w:type="dxa"/>
            <w:gridSpan w:val="10"/>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注册时间</w:t>
            </w:r>
          </w:p>
        </w:tc>
        <w:tc>
          <w:tcPr>
            <w:tcW w:w="1700" w:type="dxa"/>
            <w:gridSpan w:val="2"/>
            <w:noWrap w:val="0"/>
            <w:vAlign w:val="center"/>
          </w:tcPr>
          <w:p>
            <w:pPr>
              <w:jc w:val="center"/>
              <w:rPr>
                <w:rFonts w:ascii="宋体" w:hAnsi="宋体" w:cs="宋体"/>
                <w:sz w:val="24"/>
              </w:rPr>
            </w:pPr>
          </w:p>
        </w:tc>
        <w:tc>
          <w:tcPr>
            <w:tcW w:w="1551" w:type="dxa"/>
            <w:gridSpan w:val="2"/>
            <w:noWrap w:val="0"/>
            <w:vAlign w:val="center"/>
          </w:tcPr>
          <w:p>
            <w:pPr>
              <w:jc w:val="center"/>
              <w:rPr>
                <w:rFonts w:ascii="宋体" w:hAnsi="宋体" w:cs="宋体"/>
                <w:b/>
                <w:sz w:val="24"/>
              </w:rPr>
            </w:pPr>
            <w:r>
              <w:rPr>
                <w:rFonts w:hint="eastAsia" w:ascii="宋体" w:hAnsi="宋体" w:cs="宋体"/>
                <w:b/>
                <w:sz w:val="24"/>
              </w:rPr>
              <w:t>注册地区</w:t>
            </w:r>
          </w:p>
        </w:tc>
        <w:tc>
          <w:tcPr>
            <w:tcW w:w="1259" w:type="dxa"/>
            <w:noWrap w:val="0"/>
            <w:vAlign w:val="center"/>
          </w:tcPr>
          <w:p>
            <w:pPr>
              <w:jc w:val="center"/>
              <w:rPr>
                <w:rFonts w:ascii="宋体" w:hAnsi="宋体" w:cs="宋体"/>
                <w:sz w:val="24"/>
              </w:rPr>
            </w:pPr>
          </w:p>
        </w:tc>
        <w:tc>
          <w:tcPr>
            <w:tcW w:w="1643" w:type="dxa"/>
            <w:gridSpan w:val="2"/>
            <w:noWrap w:val="0"/>
            <w:vAlign w:val="center"/>
          </w:tcPr>
          <w:p>
            <w:pPr>
              <w:jc w:val="center"/>
              <w:rPr>
                <w:rFonts w:ascii="宋体" w:hAnsi="宋体" w:cs="宋体"/>
                <w:sz w:val="24"/>
              </w:rPr>
            </w:pPr>
            <w:r>
              <w:rPr>
                <w:rFonts w:hint="eastAsia" w:ascii="宋体" w:hAnsi="宋体" w:cs="宋体"/>
                <w:b/>
                <w:sz w:val="24"/>
              </w:rPr>
              <w:t>注册资金</w:t>
            </w:r>
          </w:p>
        </w:tc>
        <w:tc>
          <w:tcPr>
            <w:tcW w:w="1315" w:type="dxa"/>
            <w:gridSpan w:val="3"/>
            <w:noWrap w:val="0"/>
            <w:vAlign w:val="center"/>
          </w:tcPr>
          <w:p>
            <w:pPr>
              <w:jc w:val="right"/>
              <w:rPr>
                <w:rFonts w:ascii="宋体" w:hAnsi="宋体" w:cs="宋体"/>
                <w:sz w:val="24"/>
              </w:rPr>
            </w:pPr>
            <w:r>
              <w:rPr>
                <w:rFonts w:hint="eastAsia" w:ascii="宋体" w:hAnsi="宋体" w:cs="宋体"/>
                <w:sz w:val="24"/>
              </w:rPr>
              <w:t xml:space="preserve">  万元</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所属产业</w:t>
            </w:r>
          </w:p>
        </w:tc>
        <w:tc>
          <w:tcPr>
            <w:tcW w:w="1700" w:type="dxa"/>
            <w:gridSpan w:val="2"/>
            <w:noWrap w:val="0"/>
            <w:vAlign w:val="center"/>
          </w:tcPr>
          <w:p>
            <w:pPr>
              <w:jc w:val="center"/>
              <w:rPr>
                <w:rFonts w:ascii="宋体" w:hAnsi="宋体" w:cs="宋体"/>
                <w:sz w:val="24"/>
              </w:rPr>
            </w:pPr>
          </w:p>
        </w:tc>
        <w:tc>
          <w:tcPr>
            <w:tcW w:w="1551" w:type="dxa"/>
            <w:gridSpan w:val="2"/>
            <w:noWrap w:val="0"/>
            <w:vAlign w:val="center"/>
          </w:tcPr>
          <w:p>
            <w:pPr>
              <w:jc w:val="center"/>
              <w:rPr>
                <w:rFonts w:ascii="宋体" w:hAnsi="宋体" w:cs="宋体"/>
                <w:b/>
                <w:sz w:val="24"/>
              </w:rPr>
            </w:pPr>
            <w:r>
              <w:rPr>
                <w:rFonts w:hint="eastAsia" w:ascii="宋体" w:hAnsi="宋体" w:cs="宋体"/>
                <w:b/>
                <w:sz w:val="24"/>
              </w:rPr>
              <w:t>技术领域</w:t>
            </w:r>
          </w:p>
        </w:tc>
        <w:tc>
          <w:tcPr>
            <w:tcW w:w="1259" w:type="dxa"/>
            <w:noWrap w:val="0"/>
            <w:vAlign w:val="center"/>
          </w:tcPr>
          <w:p>
            <w:pPr>
              <w:jc w:val="center"/>
              <w:rPr>
                <w:rFonts w:ascii="宋体" w:hAnsi="宋体" w:cs="宋体"/>
                <w:sz w:val="24"/>
              </w:rPr>
            </w:pPr>
          </w:p>
        </w:tc>
        <w:tc>
          <w:tcPr>
            <w:tcW w:w="1643" w:type="dxa"/>
            <w:gridSpan w:val="2"/>
            <w:noWrap w:val="0"/>
            <w:vAlign w:val="center"/>
          </w:tcPr>
          <w:p>
            <w:pPr>
              <w:jc w:val="center"/>
              <w:rPr>
                <w:rFonts w:ascii="宋体" w:hAnsi="宋体" w:cs="宋体"/>
                <w:sz w:val="24"/>
              </w:rPr>
            </w:pPr>
            <w:r>
              <w:rPr>
                <w:rFonts w:hint="eastAsia" w:ascii="宋体" w:hAnsi="宋体" w:cs="宋体"/>
                <w:b/>
                <w:sz w:val="24"/>
              </w:rPr>
              <w:t>主营业务</w:t>
            </w:r>
          </w:p>
        </w:tc>
        <w:tc>
          <w:tcPr>
            <w:tcW w:w="1315" w:type="dxa"/>
            <w:gridSpan w:val="3"/>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单位总人数</w:t>
            </w:r>
          </w:p>
        </w:tc>
        <w:tc>
          <w:tcPr>
            <w:tcW w:w="1700" w:type="dxa"/>
            <w:gridSpan w:val="2"/>
            <w:noWrap w:val="0"/>
            <w:vAlign w:val="center"/>
          </w:tcPr>
          <w:p>
            <w:pPr>
              <w:jc w:val="center"/>
              <w:rPr>
                <w:rFonts w:ascii="宋体" w:hAnsi="宋体" w:cs="宋体"/>
                <w:sz w:val="24"/>
              </w:rPr>
            </w:pPr>
          </w:p>
        </w:tc>
        <w:tc>
          <w:tcPr>
            <w:tcW w:w="1551" w:type="dxa"/>
            <w:gridSpan w:val="2"/>
            <w:noWrap w:val="0"/>
            <w:vAlign w:val="center"/>
          </w:tcPr>
          <w:p>
            <w:pPr>
              <w:jc w:val="center"/>
              <w:rPr>
                <w:rFonts w:ascii="宋体" w:hAnsi="宋体" w:cs="宋体"/>
                <w:b/>
                <w:sz w:val="24"/>
              </w:rPr>
            </w:pPr>
            <w:r>
              <w:rPr>
                <w:rFonts w:hint="eastAsia" w:ascii="宋体" w:hAnsi="宋体" w:cs="宋体"/>
                <w:b/>
                <w:sz w:val="24"/>
              </w:rPr>
              <w:t>本科以上人数</w:t>
            </w:r>
          </w:p>
        </w:tc>
        <w:tc>
          <w:tcPr>
            <w:tcW w:w="1259" w:type="dxa"/>
            <w:noWrap w:val="0"/>
            <w:vAlign w:val="center"/>
          </w:tcPr>
          <w:p>
            <w:pPr>
              <w:jc w:val="center"/>
              <w:rPr>
                <w:rFonts w:ascii="宋体" w:hAnsi="宋体" w:cs="宋体"/>
                <w:sz w:val="24"/>
              </w:rPr>
            </w:pPr>
          </w:p>
        </w:tc>
        <w:tc>
          <w:tcPr>
            <w:tcW w:w="1643" w:type="dxa"/>
            <w:gridSpan w:val="2"/>
            <w:noWrap w:val="0"/>
            <w:vAlign w:val="center"/>
          </w:tcPr>
          <w:p>
            <w:pPr>
              <w:jc w:val="center"/>
              <w:rPr>
                <w:rFonts w:ascii="宋体" w:hAnsi="宋体" w:cs="宋体"/>
                <w:b/>
                <w:sz w:val="24"/>
              </w:rPr>
            </w:pPr>
            <w:r>
              <w:rPr>
                <w:rFonts w:hint="eastAsia" w:ascii="宋体" w:hAnsi="宋体" w:cs="宋体"/>
                <w:b/>
                <w:sz w:val="24"/>
              </w:rPr>
              <w:t>高级职称人数</w:t>
            </w:r>
          </w:p>
        </w:tc>
        <w:tc>
          <w:tcPr>
            <w:tcW w:w="1315" w:type="dxa"/>
            <w:gridSpan w:val="3"/>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675"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法人类型</w:t>
            </w:r>
          </w:p>
        </w:tc>
        <w:tc>
          <w:tcPr>
            <w:tcW w:w="4510" w:type="dxa"/>
            <w:gridSpan w:val="5"/>
            <w:noWrap w:val="0"/>
            <w:vAlign w:val="center"/>
          </w:tcPr>
          <w:p>
            <w:pPr>
              <w:ind w:firstLine="120" w:firstLineChars="50"/>
              <w:jc w:val="left"/>
              <w:rPr>
                <w:rFonts w:ascii="宋体" w:hAnsi="宋体" w:cs="宋体"/>
                <w:sz w:val="24"/>
              </w:rPr>
            </w:pPr>
            <w:r>
              <w:rPr>
                <w:rFonts w:hint="eastAsia" w:ascii="宋体" w:hAnsi="宋体" w:cs="宋体"/>
                <w:sz w:val="24"/>
              </w:rPr>
              <w:t>○企业法人     ○社会团体法人</w:t>
            </w:r>
          </w:p>
          <w:p>
            <w:pPr>
              <w:ind w:firstLine="120" w:firstLineChars="50"/>
              <w:jc w:val="left"/>
              <w:rPr>
                <w:rFonts w:ascii="宋体" w:hAnsi="宋体" w:cs="宋体"/>
                <w:sz w:val="24"/>
              </w:rPr>
            </w:pPr>
            <w:r>
              <w:rPr>
                <w:rFonts w:hint="eastAsia" w:ascii="宋体" w:hAnsi="宋体" w:cs="宋体"/>
                <w:sz w:val="24"/>
              </w:rPr>
              <w:t>○事业单位法人 ○其他：</w:t>
            </w:r>
            <w:r>
              <w:rPr>
                <w:rFonts w:hint="eastAsia" w:ascii="宋体" w:hAnsi="宋体" w:cs="宋体"/>
                <w:sz w:val="24"/>
                <w:u w:val="single"/>
              </w:rPr>
              <w:t xml:space="preserve">          </w:t>
            </w:r>
          </w:p>
        </w:tc>
        <w:tc>
          <w:tcPr>
            <w:tcW w:w="1643" w:type="dxa"/>
            <w:gridSpan w:val="2"/>
            <w:noWrap w:val="0"/>
            <w:vAlign w:val="center"/>
          </w:tcPr>
          <w:p>
            <w:pPr>
              <w:jc w:val="center"/>
              <w:rPr>
                <w:rFonts w:hint="eastAsia" w:ascii="宋体" w:hAnsi="宋体" w:eastAsia="仿宋_GB2312" w:cs="宋体"/>
                <w:b/>
                <w:sz w:val="24"/>
                <w:lang w:eastAsia="zh-CN"/>
              </w:rPr>
            </w:pPr>
            <w:r>
              <w:rPr>
                <w:rFonts w:hint="eastAsia" w:ascii="宋体" w:hAnsi="宋体" w:cs="宋体"/>
                <w:b/>
                <w:sz w:val="24"/>
              </w:rPr>
              <w:t>研究开发</w:t>
            </w:r>
            <w:r>
              <w:rPr>
                <w:rFonts w:hint="eastAsia" w:ascii="宋体" w:hAnsi="宋体" w:cs="宋体"/>
                <w:b/>
                <w:sz w:val="24"/>
                <w:lang w:eastAsia="zh-CN"/>
              </w:rPr>
              <w:t>人数</w:t>
            </w:r>
          </w:p>
        </w:tc>
        <w:tc>
          <w:tcPr>
            <w:tcW w:w="1315" w:type="dxa"/>
            <w:gridSpan w:val="3"/>
            <w:noWrap w:val="0"/>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宋体" w:hAnsi="宋体" w:eastAsia="仿宋_GB2312" w:cs="宋体"/>
                <w:b/>
                <w:sz w:val="24"/>
                <w:lang w:eastAsia="zh-CN"/>
              </w:rPr>
            </w:pPr>
            <w:r>
              <w:rPr>
                <w:rFonts w:hint="eastAsia" w:ascii="宋体" w:hAnsi="宋体" w:cs="宋体"/>
                <w:b/>
                <w:sz w:val="24"/>
                <w:lang w:eastAsia="zh-CN"/>
              </w:rPr>
              <w:t>单位隶属</w:t>
            </w:r>
          </w:p>
        </w:tc>
        <w:tc>
          <w:tcPr>
            <w:tcW w:w="3251" w:type="dxa"/>
            <w:gridSpan w:val="4"/>
            <w:noWrap w:val="0"/>
            <w:vAlign w:val="center"/>
          </w:tcPr>
          <w:p>
            <w:pPr>
              <w:ind w:firstLine="105" w:firstLineChars="50"/>
              <w:jc w:val="left"/>
              <w:rPr>
                <w:rFonts w:hint="eastAsia" w:ascii="宋体" w:hAnsi="宋体" w:cs="宋体"/>
                <w:sz w:val="24"/>
              </w:rPr>
            </w:pPr>
            <w:r>
              <w:rPr>
                <w:rFonts w:hint="eastAsia" w:ascii="华文仿宋" w:hAnsi="华文仿宋" w:eastAsia="华文仿宋" w:cs="华文仿宋"/>
                <w:sz w:val="21"/>
                <w:szCs w:val="21"/>
              </w:rPr>
              <w:t xml:space="preserve"> </w:t>
            </w:r>
            <w:r>
              <w:rPr>
                <w:rFonts w:hint="eastAsia" w:ascii="宋体" w:hAnsi="宋体" w:cs="宋体"/>
                <w:sz w:val="24"/>
              </w:rPr>
              <w:t>○中央单位   ○地方单位</w:t>
            </w:r>
          </w:p>
        </w:tc>
        <w:tc>
          <w:tcPr>
            <w:tcW w:w="1259" w:type="dxa"/>
            <w:noWrap w:val="0"/>
            <w:vAlign w:val="center"/>
          </w:tcPr>
          <w:p>
            <w:pPr>
              <w:jc w:val="center"/>
              <w:rPr>
                <w:rFonts w:hint="eastAsia" w:ascii="华文仿宋" w:hAnsi="华文仿宋" w:eastAsia="华文仿宋" w:cs="华文仿宋"/>
                <w:sz w:val="21"/>
                <w:szCs w:val="21"/>
              </w:rPr>
            </w:pPr>
            <w:r>
              <w:rPr>
                <w:rFonts w:hint="eastAsia" w:ascii="宋体" w:hAnsi="宋体" w:cs="宋体"/>
                <w:b/>
                <w:sz w:val="24"/>
              </w:rPr>
              <w:t>经济性质</w:t>
            </w:r>
          </w:p>
        </w:tc>
        <w:tc>
          <w:tcPr>
            <w:tcW w:w="2958" w:type="dxa"/>
            <w:gridSpan w:val="5"/>
            <w:noWrap w:val="0"/>
            <w:vAlign w:val="center"/>
          </w:tcPr>
          <w:p>
            <w:pPr>
              <w:ind w:firstLine="120" w:firstLineChars="50"/>
              <w:jc w:val="left"/>
              <w:rPr>
                <w:rFonts w:hint="eastAsia" w:ascii="华文仿宋" w:hAnsi="华文仿宋" w:eastAsia="华文仿宋" w:cs="华文仿宋"/>
                <w:sz w:val="21"/>
                <w:szCs w:val="21"/>
              </w:rPr>
            </w:pPr>
            <w:r>
              <w:rPr>
                <w:rFonts w:hint="eastAsia" w:ascii="宋体" w:hAnsi="宋体" w:cs="宋体"/>
                <w:sz w:val="24"/>
              </w:rPr>
              <w:t>○国有  ○私营  ○其他</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宋体" w:hAnsi="宋体" w:cs="宋体"/>
                <w:b/>
                <w:sz w:val="24"/>
              </w:rPr>
            </w:pPr>
            <w:r>
              <w:rPr>
                <w:rFonts w:hint="eastAsia" w:ascii="宋体" w:hAnsi="宋体" w:cs="宋体"/>
                <w:b/>
                <w:sz w:val="24"/>
              </w:rPr>
              <w:t>法定代表人</w:t>
            </w:r>
          </w:p>
        </w:tc>
        <w:tc>
          <w:tcPr>
            <w:tcW w:w="1153" w:type="dxa"/>
            <w:noWrap w:val="0"/>
            <w:vAlign w:val="center"/>
          </w:tcPr>
          <w:p>
            <w:pPr>
              <w:jc w:val="center"/>
              <w:rPr>
                <w:rFonts w:ascii="宋体" w:hAnsi="宋体" w:cs="宋体"/>
                <w:b/>
                <w:sz w:val="24"/>
              </w:rPr>
            </w:pPr>
            <w:r>
              <w:rPr>
                <w:rFonts w:hint="eastAsia" w:ascii="宋体" w:hAnsi="宋体" w:cs="宋体"/>
                <w:b/>
                <w:sz w:val="24"/>
              </w:rPr>
              <w:t>姓  名</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职   务</w:t>
            </w:r>
          </w:p>
        </w:tc>
        <w:tc>
          <w:tcPr>
            <w:tcW w:w="1029" w:type="dxa"/>
            <w:noWrap w:val="0"/>
            <w:vAlign w:val="center"/>
          </w:tcPr>
          <w:p>
            <w:pPr>
              <w:jc w:val="center"/>
              <w:rPr>
                <w:rFonts w:ascii="宋体" w:hAnsi="宋体" w:cs="宋体"/>
                <w:sz w:val="24"/>
              </w:rPr>
            </w:pPr>
          </w:p>
        </w:tc>
        <w:tc>
          <w:tcPr>
            <w:tcW w:w="1050" w:type="dxa"/>
            <w:gridSpan w:val="3"/>
            <w:noWrap w:val="0"/>
            <w:vAlign w:val="center"/>
          </w:tcPr>
          <w:p>
            <w:pPr>
              <w:jc w:val="center"/>
              <w:rPr>
                <w:rFonts w:hint="eastAsia" w:ascii="宋体" w:hAnsi="宋体" w:eastAsia="仿宋_GB2312" w:cs="宋体"/>
                <w:sz w:val="24"/>
                <w:lang w:eastAsia="zh-CN"/>
              </w:rPr>
            </w:pPr>
            <w:r>
              <w:rPr>
                <w:rFonts w:hint="eastAsia" w:ascii="宋体" w:hAnsi="宋体" w:cs="宋体"/>
                <w:b/>
                <w:bCs/>
                <w:sz w:val="24"/>
                <w:lang w:eastAsia="zh-CN"/>
              </w:rPr>
              <w:t>任职时间</w:t>
            </w:r>
          </w:p>
        </w:tc>
        <w:tc>
          <w:tcPr>
            <w:tcW w:w="879"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hint="eastAsia" w:ascii="宋体" w:hAnsi="宋体" w:eastAsia="仿宋_GB2312" w:cs="宋体"/>
                <w:b/>
                <w:sz w:val="24"/>
                <w:lang w:eastAsia="zh-CN"/>
              </w:rPr>
            </w:pPr>
            <w:r>
              <w:rPr>
                <w:rFonts w:hint="eastAsia" w:ascii="宋体" w:hAnsi="宋体" w:cs="宋体"/>
                <w:b/>
                <w:sz w:val="24"/>
                <w:lang w:eastAsia="zh-CN"/>
              </w:rPr>
              <w:t>身份证号</w:t>
            </w:r>
          </w:p>
        </w:tc>
        <w:tc>
          <w:tcPr>
            <w:tcW w:w="3357" w:type="dxa"/>
            <w:gridSpan w:val="4"/>
            <w:noWrap w:val="0"/>
            <w:vAlign w:val="center"/>
          </w:tcPr>
          <w:p>
            <w:pPr>
              <w:jc w:val="center"/>
              <w:rPr>
                <w:rFonts w:ascii="宋体" w:hAnsi="宋体" w:cs="宋体"/>
                <w:b/>
                <w:sz w:val="24"/>
              </w:rPr>
            </w:pPr>
          </w:p>
        </w:tc>
        <w:tc>
          <w:tcPr>
            <w:tcW w:w="1029" w:type="dxa"/>
            <w:noWrap w:val="0"/>
            <w:vAlign w:val="center"/>
          </w:tcPr>
          <w:p>
            <w:pPr>
              <w:jc w:val="center"/>
              <w:rPr>
                <w:rFonts w:ascii="宋体" w:hAnsi="宋体" w:cs="宋体"/>
                <w:sz w:val="24"/>
              </w:rPr>
            </w:pPr>
            <w:r>
              <w:rPr>
                <w:rFonts w:hint="eastAsia" w:ascii="宋体" w:hAnsi="宋体" w:cs="宋体"/>
                <w:b/>
                <w:sz w:val="24"/>
              </w:rPr>
              <w:t>手  机</w:t>
            </w:r>
          </w:p>
        </w:tc>
        <w:tc>
          <w:tcPr>
            <w:tcW w:w="1929"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宋体" w:hAnsi="宋体" w:cs="宋体"/>
                <w:b/>
                <w:sz w:val="24"/>
              </w:rPr>
            </w:pPr>
            <w:r>
              <w:rPr>
                <w:rFonts w:hint="eastAsia" w:ascii="宋体" w:hAnsi="宋体" w:cs="宋体"/>
                <w:b/>
                <w:sz w:val="24"/>
                <w:lang w:eastAsia="zh-CN"/>
              </w:rPr>
              <w:t>项目负责</w:t>
            </w:r>
            <w:r>
              <w:rPr>
                <w:rFonts w:hint="eastAsia" w:ascii="宋体" w:hAnsi="宋体" w:cs="宋体"/>
                <w:b/>
                <w:sz w:val="24"/>
              </w:rPr>
              <w:t>人</w:t>
            </w:r>
          </w:p>
        </w:tc>
        <w:tc>
          <w:tcPr>
            <w:tcW w:w="1153" w:type="dxa"/>
            <w:noWrap w:val="0"/>
            <w:vAlign w:val="center"/>
          </w:tcPr>
          <w:p>
            <w:pPr>
              <w:jc w:val="center"/>
              <w:rPr>
                <w:rFonts w:ascii="宋体" w:hAnsi="宋体" w:cs="宋体"/>
                <w:b/>
                <w:sz w:val="24"/>
              </w:rPr>
            </w:pPr>
            <w:r>
              <w:rPr>
                <w:rFonts w:hint="eastAsia" w:ascii="宋体" w:hAnsi="宋体" w:cs="宋体"/>
                <w:b/>
                <w:sz w:val="24"/>
              </w:rPr>
              <w:t>姓  名</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职   务</w:t>
            </w:r>
          </w:p>
        </w:tc>
        <w:tc>
          <w:tcPr>
            <w:tcW w:w="1029" w:type="dxa"/>
            <w:noWrap w:val="0"/>
            <w:vAlign w:val="center"/>
          </w:tcPr>
          <w:p>
            <w:pPr>
              <w:jc w:val="center"/>
              <w:rPr>
                <w:rFonts w:ascii="宋体" w:hAnsi="宋体" w:cs="宋体"/>
                <w:sz w:val="24"/>
              </w:rPr>
            </w:pPr>
          </w:p>
        </w:tc>
        <w:tc>
          <w:tcPr>
            <w:tcW w:w="1050" w:type="dxa"/>
            <w:gridSpan w:val="3"/>
            <w:noWrap w:val="0"/>
            <w:vAlign w:val="center"/>
          </w:tcPr>
          <w:p>
            <w:pPr>
              <w:jc w:val="center"/>
              <w:rPr>
                <w:rFonts w:hint="eastAsia" w:ascii="宋体" w:hAnsi="宋体" w:eastAsia="仿宋_GB2312" w:cs="宋体"/>
                <w:sz w:val="24"/>
                <w:lang w:eastAsia="zh-CN"/>
              </w:rPr>
            </w:pPr>
            <w:r>
              <w:rPr>
                <w:rFonts w:hint="eastAsia" w:ascii="宋体" w:hAnsi="宋体" w:cs="宋体"/>
                <w:b/>
                <w:bCs/>
                <w:sz w:val="24"/>
                <w:lang w:eastAsia="zh-CN"/>
              </w:rPr>
              <w:t>任职时间</w:t>
            </w:r>
          </w:p>
        </w:tc>
        <w:tc>
          <w:tcPr>
            <w:tcW w:w="879" w:type="dxa"/>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hint="eastAsia" w:ascii="宋体" w:hAnsi="宋体" w:eastAsia="仿宋_GB2312" w:cs="宋体"/>
                <w:b/>
                <w:sz w:val="24"/>
                <w:lang w:eastAsia="zh-CN"/>
              </w:rPr>
            </w:pPr>
            <w:r>
              <w:rPr>
                <w:rFonts w:hint="eastAsia" w:ascii="宋体" w:hAnsi="宋体" w:cs="宋体"/>
                <w:b/>
                <w:sz w:val="24"/>
                <w:lang w:eastAsia="zh-CN"/>
              </w:rPr>
              <w:t>身份证号</w:t>
            </w:r>
          </w:p>
        </w:tc>
        <w:tc>
          <w:tcPr>
            <w:tcW w:w="3357" w:type="dxa"/>
            <w:gridSpan w:val="4"/>
            <w:noWrap w:val="0"/>
            <w:vAlign w:val="center"/>
          </w:tcPr>
          <w:p>
            <w:pPr>
              <w:jc w:val="center"/>
              <w:rPr>
                <w:rFonts w:ascii="宋体" w:hAnsi="宋体" w:cs="宋体"/>
                <w:b/>
                <w:sz w:val="24"/>
              </w:rPr>
            </w:pPr>
          </w:p>
        </w:tc>
        <w:tc>
          <w:tcPr>
            <w:tcW w:w="1029" w:type="dxa"/>
            <w:noWrap w:val="0"/>
            <w:vAlign w:val="center"/>
          </w:tcPr>
          <w:p>
            <w:pPr>
              <w:jc w:val="center"/>
              <w:rPr>
                <w:rFonts w:ascii="宋体" w:hAnsi="宋体" w:cs="宋体"/>
                <w:sz w:val="24"/>
              </w:rPr>
            </w:pPr>
            <w:r>
              <w:rPr>
                <w:rFonts w:hint="eastAsia" w:ascii="宋体" w:hAnsi="宋体" w:cs="宋体"/>
                <w:b/>
                <w:sz w:val="24"/>
              </w:rPr>
              <w:t>手  机</w:t>
            </w:r>
          </w:p>
        </w:tc>
        <w:tc>
          <w:tcPr>
            <w:tcW w:w="1929" w:type="dxa"/>
            <w:gridSpan w:val="4"/>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restart"/>
            <w:noWrap w:val="0"/>
            <w:vAlign w:val="center"/>
          </w:tcPr>
          <w:p>
            <w:pPr>
              <w:jc w:val="center"/>
              <w:rPr>
                <w:rFonts w:ascii="宋体" w:hAnsi="宋体" w:cs="宋体"/>
                <w:b/>
                <w:sz w:val="24"/>
              </w:rPr>
            </w:pPr>
            <w:r>
              <w:rPr>
                <w:rFonts w:hint="eastAsia" w:ascii="宋体" w:hAnsi="宋体" w:cs="宋体"/>
                <w:b/>
                <w:sz w:val="24"/>
              </w:rPr>
              <w:t>联系人</w:t>
            </w:r>
          </w:p>
        </w:tc>
        <w:tc>
          <w:tcPr>
            <w:tcW w:w="1153" w:type="dxa"/>
            <w:noWrap w:val="0"/>
            <w:vAlign w:val="center"/>
          </w:tcPr>
          <w:p>
            <w:pPr>
              <w:jc w:val="center"/>
              <w:rPr>
                <w:rFonts w:ascii="宋体" w:hAnsi="宋体" w:cs="宋体"/>
                <w:b/>
                <w:sz w:val="24"/>
              </w:rPr>
            </w:pPr>
            <w:r>
              <w:rPr>
                <w:rFonts w:hint="eastAsia" w:ascii="宋体" w:hAnsi="宋体" w:cs="宋体"/>
                <w:b/>
                <w:sz w:val="24"/>
              </w:rPr>
              <w:t>姓  名</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职    务</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ascii="宋体" w:hAnsi="宋体" w:cs="宋体"/>
                <w:b/>
                <w:sz w:val="24"/>
              </w:rPr>
            </w:pPr>
            <w:r>
              <w:rPr>
                <w:rFonts w:hint="eastAsia" w:ascii="宋体" w:hAnsi="宋体" w:cs="宋体"/>
                <w:b/>
                <w:sz w:val="24"/>
              </w:rPr>
              <w:t>电  话</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手    机</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vMerge w:val="continue"/>
            <w:noWrap w:val="0"/>
            <w:vAlign w:val="center"/>
          </w:tcPr>
          <w:p>
            <w:pPr>
              <w:jc w:val="center"/>
              <w:rPr>
                <w:rFonts w:ascii="宋体" w:hAnsi="宋体" w:cs="宋体"/>
                <w:b/>
                <w:sz w:val="24"/>
              </w:rPr>
            </w:pPr>
          </w:p>
        </w:tc>
        <w:tc>
          <w:tcPr>
            <w:tcW w:w="1153" w:type="dxa"/>
            <w:noWrap w:val="0"/>
            <w:vAlign w:val="center"/>
          </w:tcPr>
          <w:p>
            <w:pPr>
              <w:jc w:val="center"/>
              <w:rPr>
                <w:rFonts w:ascii="宋体" w:hAnsi="宋体" w:cs="宋体"/>
                <w:b/>
                <w:sz w:val="24"/>
              </w:rPr>
            </w:pPr>
            <w:r>
              <w:rPr>
                <w:rFonts w:hint="eastAsia" w:ascii="宋体" w:hAnsi="宋体" w:cs="宋体"/>
                <w:b/>
                <w:sz w:val="24"/>
              </w:rPr>
              <w:t>传  真</w:t>
            </w:r>
          </w:p>
        </w:tc>
        <w:tc>
          <w:tcPr>
            <w:tcW w:w="2098" w:type="dxa"/>
            <w:gridSpan w:val="3"/>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电子邮箱</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ascii="宋体" w:hAnsi="宋体" w:cs="宋体"/>
                <w:b/>
                <w:sz w:val="24"/>
              </w:rPr>
            </w:pPr>
            <w:r>
              <w:rPr>
                <w:rFonts w:hint="eastAsia" w:ascii="宋体" w:hAnsi="宋体" w:cs="宋体"/>
                <w:b/>
                <w:sz w:val="24"/>
              </w:rPr>
              <w:t>单位地址</w:t>
            </w:r>
          </w:p>
        </w:tc>
        <w:tc>
          <w:tcPr>
            <w:tcW w:w="3251" w:type="dxa"/>
            <w:gridSpan w:val="4"/>
            <w:noWrap w:val="0"/>
            <w:vAlign w:val="center"/>
          </w:tcPr>
          <w:p>
            <w:pPr>
              <w:jc w:val="center"/>
              <w:rPr>
                <w:rFonts w:ascii="宋体" w:hAnsi="宋体" w:cs="宋体"/>
                <w:sz w:val="24"/>
              </w:rPr>
            </w:pPr>
          </w:p>
        </w:tc>
        <w:tc>
          <w:tcPr>
            <w:tcW w:w="1259" w:type="dxa"/>
            <w:noWrap w:val="0"/>
            <w:vAlign w:val="center"/>
          </w:tcPr>
          <w:p>
            <w:pPr>
              <w:jc w:val="center"/>
              <w:rPr>
                <w:rFonts w:ascii="宋体" w:hAnsi="宋体" w:cs="宋体"/>
                <w:b/>
                <w:sz w:val="24"/>
              </w:rPr>
            </w:pPr>
            <w:r>
              <w:rPr>
                <w:rFonts w:hint="eastAsia" w:ascii="宋体" w:hAnsi="宋体" w:cs="宋体"/>
                <w:b/>
                <w:sz w:val="24"/>
              </w:rPr>
              <w:t>邮    编</w:t>
            </w:r>
          </w:p>
        </w:tc>
        <w:tc>
          <w:tcPr>
            <w:tcW w:w="2958" w:type="dxa"/>
            <w:gridSpan w:val="5"/>
            <w:noWrap w:val="0"/>
            <w:vAlign w:val="center"/>
          </w:tcPr>
          <w:p>
            <w:pPr>
              <w:jc w:val="center"/>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宋体" w:hAnsi="宋体" w:cs="宋体"/>
                <w:b/>
                <w:sz w:val="24"/>
              </w:rPr>
            </w:pPr>
            <w:r>
              <w:rPr>
                <w:rFonts w:hint="eastAsia" w:ascii="宋体" w:hAnsi="宋体" w:cs="宋体"/>
                <w:b/>
                <w:sz w:val="24"/>
              </w:rPr>
              <w:t>开户银行</w:t>
            </w:r>
          </w:p>
        </w:tc>
        <w:tc>
          <w:tcPr>
            <w:tcW w:w="3251" w:type="dxa"/>
            <w:gridSpan w:val="4"/>
            <w:noWrap w:val="0"/>
            <w:vAlign w:val="center"/>
          </w:tcPr>
          <w:p>
            <w:pPr>
              <w:jc w:val="center"/>
              <w:rPr>
                <w:rFonts w:hint="eastAsia" w:ascii="宋体" w:hAnsi="宋体" w:cs="宋体"/>
                <w:b/>
                <w:sz w:val="24"/>
              </w:rPr>
            </w:pPr>
          </w:p>
        </w:tc>
        <w:tc>
          <w:tcPr>
            <w:tcW w:w="1259" w:type="dxa"/>
            <w:noWrap w:val="0"/>
            <w:vAlign w:val="center"/>
          </w:tcPr>
          <w:p>
            <w:pPr>
              <w:jc w:val="center"/>
              <w:rPr>
                <w:rFonts w:hint="eastAsia" w:ascii="宋体" w:hAnsi="宋体" w:cs="宋体"/>
                <w:b/>
                <w:sz w:val="24"/>
              </w:rPr>
            </w:pPr>
            <w:r>
              <w:rPr>
                <w:rFonts w:hint="eastAsia" w:ascii="宋体" w:hAnsi="宋体" w:cs="宋体"/>
                <w:b/>
                <w:sz w:val="24"/>
              </w:rPr>
              <w:t>开户名</w:t>
            </w:r>
          </w:p>
        </w:tc>
        <w:tc>
          <w:tcPr>
            <w:tcW w:w="2958" w:type="dxa"/>
            <w:gridSpan w:val="5"/>
            <w:noWrap w:val="0"/>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1493" w:type="dxa"/>
            <w:gridSpan w:val="2"/>
            <w:noWrap w:val="0"/>
            <w:vAlign w:val="center"/>
          </w:tcPr>
          <w:p>
            <w:pPr>
              <w:jc w:val="center"/>
              <w:rPr>
                <w:rFonts w:hint="eastAsia" w:ascii="宋体" w:hAnsi="宋体" w:cs="宋体"/>
                <w:b/>
                <w:sz w:val="24"/>
              </w:rPr>
            </w:pPr>
            <w:r>
              <w:rPr>
                <w:rFonts w:hint="eastAsia" w:ascii="宋体" w:hAnsi="宋体" w:cs="宋体"/>
                <w:b/>
                <w:sz w:val="24"/>
              </w:rPr>
              <w:t>帐    号</w:t>
            </w:r>
          </w:p>
        </w:tc>
        <w:tc>
          <w:tcPr>
            <w:tcW w:w="7468" w:type="dxa"/>
            <w:gridSpan w:val="10"/>
            <w:noWrap w:val="0"/>
            <w:vAlign w:val="center"/>
          </w:tcPr>
          <w:p>
            <w:pPr>
              <w:jc w:val="center"/>
              <w:rPr>
                <w:rFonts w:hint="eastAsia" w:ascii="宋体" w:hAnsi="宋体" w:cs="宋体"/>
                <w:b/>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727" w:hRule="exact"/>
          <w:jc w:val="center"/>
        </w:trPr>
        <w:tc>
          <w:tcPr>
            <w:tcW w:w="737" w:type="dxa"/>
            <w:vMerge w:val="restart"/>
            <w:noWrap w:val="0"/>
            <w:vAlign w:val="center"/>
          </w:tcPr>
          <w:p>
            <w:pPr>
              <w:jc w:val="center"/>
              <w:rPr>
                <w:rFonts w:ascii="宋体" w:hAnsi="宋体" w:cs="宋体"/>
                <w:b/>
                <w:sz w:val="24"/>
              </w:rPr>
            </w:pPr>
            <w:r>
              <w:rPr>
                <w:rFonts w:hint="eastAsia" w:ascii="宋体" w:hAnsi="宋体" w:cs="宋体"/>
                <w:b/>
                <w:sz w:val="24"/>
              </w:rPr>
              <w:t>财务状况</w:t>
            </w:r>
            <w:r>
              <w:rPr>
                <w:rFonts w:hint="eastAsia" w:ascii="宋体" w:hAnsi="宋体" w:cs="宋体"/>
                <w:sz w:val="24"/>
              </w:rPr>
              <w:t>(万元</w:t>
            </w:r>
            <w:r>
              <w:rPr>
                <w:rFonts w:hint="eastAsia" w:ascii="宋体" w:hAnsi="宋体" w:cs="宋体"/>
                <w:sz w:val="24"/>
                <w:lang w:eastAsia="zh-CN"/>
              </w:rPr>
              <w:t>，企业填</w:t>
            </w:r>
            <w:r>
              <w:rPr>
                <w:rFonts w:hint="eastAsia" w:ascii="宋体" w:hAnsi="宋体" w:cs="宋体"/>
                <w:sz w:val="24"/>
              </w:rPr>
              <w:t>)</w:t>
            </w:r>
          </w:p>
        </w:tc>
        <w:tc>
          <w:tcPr>
            <w:tcW w:w="756" w:type="dxa"/>
            <w:noWrap w:val="0"/>
            <w:vAlign w:val="center"/>
          </w:tcPr>
          <w:p>
            <w:pPr>
              <w:jc w:val="center"/>
              <w:rPr>
                <w:rFonts w:ascii="宋体" w:hAnsi="宋体" w:cs="宋体"/>
                <w:b/>
                <w:sz w:val="24"/>
              </w:rPr>
            </w:pPr>
            <w:r>
              <w:rPr>
                <w:rFonts w:hint="eastAsia" w:ascii="宋体" w:hAnsi="宋体" w:cs="宋体"/>
                <w:b/>
                <w:sz w:val="24"/>
              </w:rPr>
              <w:t>年份</w:t>
            </w:r>
          </w:p>
        </w:tc>
        <w:tc>
          <w:tcPr>
            <w:tcW w:w="1153" w:type="dxa"/>
            <w:noWrap w:val="0"/>
            <w:vAlign w:val="center"/>
          </w:tcPr>
          <w:p>
            <w:pPr>
              <w:jc w:val="center"/>
              <w:rPr>
                <w:rFonts w:ascii="宋体" w:hAnsi="宋体" w:eastAsia="宋体" w:cs="宋体"/>
                <w:sz w:val="24"/>
              </w:rPr>
            </w:pPr>
            <w:r>
              <w:rPr>
                <w:rFonts w:hint="eastAsia" w:ascii="宋体" w:hAnsi="宋体" w:cs="宋体"/>
                <w:sz w:val="24"/>
              </w:rPr>
              <w:t>产值</w:t>
            </w:r>
          </w:p>
        </w:tc>
        <w:tc>
          <w:tcPr>
            <w:tcW w:w="1091" w:type="dxa"/>
            <w:gridSpan w:val="2"/>
            <w:noWrap w:val="0"/>
            <w:vAlign w:val="center"/>
          </w:tcPr>
          <w:p>
            <w:pPr>
              <w:jc w:val="center"/>
              <w:rPr>
                <w:rFonts w:ascii="宋体" w:hAnsi="宋体" w:eastAsia="宋体" w:cs="宋体"/>
                <w:sz w:val="24"/>
              </w:rPr>
            </w:pPr>
            <w:r>
              <w:rPr>
                <w:rFonts w:hint="eastAsia" w:ascii="宋体" w:hAnsi="宋体" w:cs="宋体"/>
                <w:sz w:val="24"/>
              </w:rPr>
              <w:t>销售额</w:t>
            </w:r>
          </w:p>
        </w:tc>
        <w:tc>
          <w:tcPr>
            <w:tcW w:w="1007" w:type="dxa"/>
            <w:noWrap w:val="0"/>
            <w:vAlign w:val="center"/>
          </w:tcPr>
          <w:p>
            <w:pPr>
              <w:jc w:val="center"/>
              <w:rPr>
                <w:rFonts w:ascii="宋体" w:hAnsi="宋体" w:eastAsia="宋体" w:cs="宋体"/>
                <w:sz w:val="24"/>
              </w:rPr>
            </w:pPr>
            <w:r>
              <w:rPr>
                <w:rFonts w:hint="eastAsia" w:ascii="宋体" w:hAnsi="宋体" w:cs="宋体"/>
                <w:sz w:val="24"/>
              </w:rPr>
              <w:t>利税</w:t>
            </w:r>
          </w:p>
        </w:tc>
        <w:tc>
          <w:tcPr>
            <w:tcW w:w="1259" w:type="dxa"/>
            <w:noWrap w:val="0"/>
            <w:vAlign w:val="center"/>
          </w:tcPr>
          <w:p>
            <w:pPr>
              <w:jc w:val="center"/>
              <w:rPr>
                <w:rFonts w:ascii="宋体" w:hAnsi="宋体" w:eastAsia="宋体" w:cs="宋体"/>
                <w:sz w:val="24"/>
              </w:rPr>
            </w:pPr>
            <w:r>
              <w:rPr>
                <w:rFonts w:hint="eastAsia" w:ascii="宋体" w:hAnsi="宋体" w:cs="宋体"/>
                <w:sz w:val="24"/>
              </w:rPr>
              <w:t>净利润</w:t>
            </w:r>
          </w:p>
        </w:tc>
        <w:tc>
          <w:tcPr>
            <w:tcW w:w="1029" w:type="dxa"/>
            <w:noWrap w:val="0"/>
            <w:vAlign w:val="center"/>
          </w:tcPr>
          <w:p>
            <w:pPr>
              <w:jc w:val="center"/>
              <w:rPr>
                <w:rFonts w:hint="eastAsia" w:ascii="宋体" w:hAnsi="宋体" w:cs="宋体"/>
                <w:sz w:val="24"/>
              </w:rPr>
            </w:pPr>
            <w:r>
              <w:rPr>
                <w:rFonts w:hint="eastAsia" w:ascii="宋体" w:hAnsi="宋体" w:cs="宋体"/>
                <w:sz w:val="24"/>
              </w:rPr>
              <w:t>研发</w:t>
            </w:r>
          </w:p>
          <w:p>
            <w:pPr>
              <w:jc w:val="center"/>
              <w:rPr>
                <w:rFonts w:ascii="宋体" w:hAnsi="宋体" w:eastAsia="宋体" w:cs="宋体"/>
                <w:sz w:val="24"/>
              </w:rPr>
            </w:pPr>
            <w:r>
              <w:rPr>
                <w:rFonts w:hint="eastAsia" w:ascii="宋体" w:hAnsi="宋体" w:cs="宋体"/>
                <w:sz w:val="24"/>
              </w:rPr>
              <w:t>经费</w:t>
            </w:r>
          </w:p>
        </w:tc>
        <w:tc>
          <w:tcPr>
            <w:tcW w:w="953" w:type="dxa"/>
            <w:gridSpan w:val="2"/>
            <w:noWrap w:val="0"/>
            <w:vAlign w:val="center"/>
          </w:tcPr>
          <w:p>
            <w:pPr>
              <w:jc w:val="center"/>
              <w:rPr>
                <w:rFonts w:hint="eastAsia" w:ascii="宋体" w:hAnsi="宋体" w:eastAsia="仿宋_GB2312" w:cs="宋体"/>
                <w:sz w:val="24"/>
                <w:lang w:eastAsia="zh-CN"/>
              </w:rPr>
            </w:pPr>
            <w:r>
              <w:rPr>
                <w:rFonts w:hint="eastAsia" w:ascii="宋体" w:hAnsi="宋体" w:cs="宋体"/>
                <w:sz w:val="24"/>
                <w:lang w:eastAsia="zh-CN"/>
              </w:rPr>
              <w:t>总资产</w:t>
            </w:r>
          </w:p>
        </w:tc>
        <w:tc>
          <w:tcPr>
            <w:tcW w:w="976" w:type="dxa"/>
            <w:gridSpan w:val="2"/>
            <w:noWrap w:val="0"/>
            <w:vAlign w:val="center"/>
          </w:tcPr>
          <w:p>
            <w:pPr>
              <w:jc w:val="center"/>
              <w:rPr>
                <w:rFonts w:ascii="宋体" w:hAnsi="宋体" w:cs="宋体"/>
                <w:sz w:val="24"/>
              </w:rPr>
            </w:pPr>
            <w:r>
              <w:rPr>
                <w:rFonts w:hint="eastAsia" w:ascii="宋体" w:hAnsi="宋体" w:cs="宋体"/>
                <w:sz w:val="24"/>
              </w:rPr>
              <w:t>资产负债率(%)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宋体" w:hAnsi="宋体" w:cs="宋体"/>
                <w:b/>
                <w:sz w:val="24"/>
              </w:rPr>
            </w:pPr>
          </w:p>
        </w:tc>
        <w:tc>
          <w:tcPr>
            <w:tcW w:w="756" w:type="dxa"/>
            <w:noWrap w:val="0"/>
            <w:vAlign w:val="center"/>
          </w:tcPr>
          <w:p>
            <w:pPr>
              <w:jc w:val="center"/>
              <w:rPr>
                <w:rFonts w:ascii="宋体" w:hAnsi="宋体" w:cs="宋体"/>
                <w:b/>
                <w:sz w:val="24"/>
              </w:rPr>
            </w:pPr>
          </w:p>
        </w:tc>
        <w:tc>
          <w:tcPr>
            <w:tcW w:w="1153" w:type="dxa"/>
            <w:noWrap w:val="0"/>
            <w:vAlign w:val="center"/>
          </w:tcPr>
          <w:p>
            <w:pPr>
              <w:jc w:val="left"/>
              <w:rPr>
                <w:rFonts w:ascii="宋体" w:hAnsi="宋体" w:cs="宋体"/>
                <w:sz w:val="24"/>
              </w:rPr>
            </w:pPr>
          </w:p>
        </w:tc>
        <w:tc>
          <w:tcPr>
            <w:tcW w:w="1091" w:type="dxa"/>
            <w:gridSpan w:val="2"/>
            <w:noWrap w:val="0"/>
            <w:vAlign w:val="center"/>
          </w:tcPr>
          <w:p>
            <w:pPr>
              <w:jc w:val="left"/>
              <w:rPr>
                <w:rFonts w:ascii="宋体" w:hAnsi="宋体" w:cs="宋体"/>
                <w:sz w:val="24"/>
              </w:rPr>
            </w:pPr>
          </w:p>
        </w:tc>
        <w:tc>
          <w:tcPr>
            <w:tcW w:w="1007" w:type="dxa"/>
            <w:noWrap w:val="0"/>
            <w:vAlign w:val="center"/>
          </w:tcPr>
          <w:p>
            <w:pPr>
              <w:jc w:val="left"/>
              <w:rPr>
                <w:rFonts w:ascii="宋体" w:hAnsi="宋体" w:cs="宋体"/>
                <w:sz w:val="24"/>
              </w:rPr>
            </w:pPr>
          </w:p>
        </w:tc>
        <w:tc>
          <w:tcPr>
            <w:tcW w:w="1259" w:type="dxa"/>
            <w:noWrap w:val="0"/>
            <w:vAlign w:val="center"/>
          </w:tcPr>
          <w:p>
            <w:pPr>
              <w:jc w:val="left"/>
              <w:rPr>
                <w:rFonts w:ascii="宋体" w:hAnsi="宋体" w:cs="宋体"/>
                <w:sz w:val="24"/>
              </w:rPr>
            </w:pPr>
          </w:p>
        </w:tc>
        <w:tc>
          <w:tcPr>
            <w:tcW w:w="1029" w:type="dxa"/>
            <w:noWrap w:val="0"/>
            <w:vAlign w:val="center"/>
          </w:tcPr>
          <w:p>
            <w:pPr>
              <w:jc w:val="left"/>
              <w:rPr>
                <w:rFonts w:ascii="宋体" w:hAnsi="宋体" w:cs="宋体"/>
                <w:sz w:val="24"/>
              </w:rPr>
            </w:pPr>
          </w:p>
        </w:tc>
        <w:tc>
          <w:tcPr>
            <w:tcW w:w="953" w:type="dxa"/>
            <w:gridSpan w:val="2"/>
            <w:noWrap w:val="0"/>
            <w:vAlign w:val="center"/>
          </w:tcPr>
          <w:p>
            <w:pPr>
              <w:jc w:val="left"/>
              <w:rPr>
                <w:rFonts w:ascii="宋体" w:hAnsi="宋体" w:cs="宋体"/>
                <w:sz w:val="24"/>
              </w:rPr>
            </w:pPr>
          </w:p>
        </w:tc>
        <w:tc>
          <w:tcPr>
            <w:tcW w:w="97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宋体" w:hAnsi="宋体" w:cs="宋体"/>
                <w:b/>
                <w:sz w:val="24"/>
              </w:rPr>
            </w:pPr>
          </w:p>
        </w:tc>
        <w:tc>
          <w:tcPr>
            <w:tcW w:w="756" w:type="dxa"/>
            <w:noWrap w:val="0"/>
            <w:vAlign w:val="center"/>
          </w:tcPr>
          <w:p>
            <w:pPr>
              <w:jc w:val="center"/>
              <w:rPr>
                <w:rFonts w:ascii="宋体" w:hAnsi="宋体" w:eastAsia="宋体" w:cs="宋体"/>
                <w:b/>
                <w:sz w:val="24"/>
              </w:rPr>
            </w:pPr>
          </w:p>
        </w:tc>
        <w:tc>
          <w:tcPr>
            <w:tcW w:w="1153" w:type="dxa"/>
            <w:noWrap w:val="0"/>
            <w:vAlign w:val="center"/>
          </w:tcPr>
          <w:p>
            <w:pPr>
              <w:jc w:val="left"/>
              <w:rPr>
                <w:rFonts w:ascii="宋体" w:hAnsi="宋体" w:cs="宋体"/>
                <w:sz w:val="24"/>
              </w:rPr>
            </w:pPr>
          </w:p>
        </w:tc>
        <w:tc>
          <w:tcPr>
            <w:tcW w:w="1091" w:type="dxa"/>
            <w:gridSpan w:val="2"/>
            <w:noWrap w:val="0"/>
            <w:vAlign w:val="center"/>
          </w:tcPr>
          <w:p>
            <w:pPr>
              <w:jc w:val="left"/>
              <w:rPr>
                <w:rFonts w:ascii="宋体" w:hAnsi="宋体" w:cs="宋体"/>
                <w:sz w:val="24"/>
              </w:rPr>
            </w:pPr>
          </w:p>
        </w:tc>
        <w:tc>
          <w:tcPr>
            <w:tcW w:w="1007" w:type="dxa"/>
            <w:noWrap w:val="0"/>
            <w:vAlign w:val="center"/>
          </w:tcPr>
          <w:p>
            <w:pPr>
              <w:jc w:val="left"/>
              <w:rPr>
                <w:rFonts w:ascii="宋体" w:hAnsi="宋体" w:cs="宋体"/>
                <w:sz w:val="24"/>
              </w:rPr>
            </w:pPr>
          </w:p>
        </w:tc>
        <w:tc>
          <w:tcPr>
            <w:tcW w:w="1259" w:type="dxa"/>
            <w:noWrap w:val="0"/>
            <w:vAlign w:val="center"/>
          </w:tcPr>
          <w:p>
            <w:pPr>
              <w:jc w:val="left"/>
              <w:rPr>
                <w:rFonts w:ascii="宋体" w:hAnsi="宋体" w:cs="宋体"/>
                <w:sz w:val="24"/>
              </w:rPr>
            </w:pPr>
          </w:p>
        </w:tc>
        <w:tc>
          <w:tcPr>
            <w:tcW w:w="1029" w:type="dxa"/>
            <w:noWrap w:val="0"/>
            <w:vAlign w:val="center"/>
          </w:tcPr>
          <w:p>
            <w:pPr>
              <w:jc w:val="left"/>
              <w:rPr>
                <w:rFonts w:ascii="宋体" w:hAnsi="宋体" w:cs="宋体"/>
                <w:sz w:val="24"/>
              </w:rPr>
            </w:pPr>
          </w:p>
        </w:tc>
        <w:tc>
          <w:tcPr>
            <w:tcW w:w="953" w:type="dxa"/>
            <w:gridSpan w:val="2"/>
            <w:noWrap w:val="0"/>
            <w:vAlign w:val="center"/>
          </w:tcPr>
          <w:p>
            <w:pPr>
              <w:jc w:val="left"/>
              <w:rPr>
                <w:rFonts w:ascii="宋体" w:hAnsi="宋体" w:cs="宋体"/>
                <w:sz w:val="24"/>
              </w:rPr>
            </w:pPr>
          </w:p>
        </w:tc>
        <w:tc>
          <w:tcPr>
            <w:tcW w:w="97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737" w:type="dxa"/>
            <w:vMerge w:val="continue"/>
            <w:noWrap w:val="0"/>
            <w:vAlign w:val="center"/>
          </w:tcPr>
          <w:p>
            <w:pPr>
              <w:jc w:val="center"/>
              <w:rPr>
                <w:rFonts w:ascii="宋体" w:hAnsi="宋体" w:cs="宋体"/>
                <w:b/>
                <w:sz w:val="24"/>
              </w:rPr>
            </w:pPr>
          </w:p>
        </w:tc>
        <w:tc>
          <w:tcPr>
            <w:tcW w:w="756" w:type="dxa"/>
            <w:noWrap w:val="0"/>
            <w:vAlign w:val="center"/>
          </w:tcPr>
          <w:p>
            <w:pPr>
              <w:jc w:val="center"/>
              <w:rPr>
                <w:rFonts w:ascii="宋体" w:hAnsi="宋体" w:eastAsia="宋体" w:cs="宋体"/>
                <w:b/>
                <w:sz w:val="24"/>
              </w:rPr>
            </w:pPr>
          </w:p>
        </w:tc>
        <w:tc>
          <w:tcPr>
            <w:tcW w:w="1153" w:type="dxa"/>
            <w:noWrap w:val="0"/>
            <w:vAlign w:val="center"/>
          </w:tcPr>
          <w:p>
            <w:pPr>
              <w:jc w:val="left"/>
              <w:rPr>
                <w:rFonts w:ascii="宋体" w:hAnsi="宋体" w:cs="宋体"/>
                <w:sz w:val="24"/>
              </w:rPr>
            </w:pPr>
          </w:p>
        </w:tc>
        <w:tc>
          <w:tcPr>
            <w:tcW w:w="1091" w:type="dxa"/>
            <w:gridSpan w:val="2"/>
            <w:noWrap w:val="0"/>
            <w:vAlign w:val="center"/>
          </w:tcPr>
          <w:p>
            <w:pPr>
              <w:jc w:val="left"/>
              <w:rPr>
                <w:rFonts w:ascii="宋体" w:hAnsi="宋体" w:cs="宋体"/>
                <w:sz w:val="24"/>
              </w:rPr>
            </w:pPr>
          </w:p>
        </w:tc>
        <w:tc>
          <w:tcPr>
            <w:tcW w:w="1007" w:type="dxa"/>
            <w:noWrap w:val="0"/>
            <w:vAlign w:val="center"/>
          </w:tcPr>
          <w:p>
            <w:pPr>
              <w:jc w:val="left"/>
              <w:rPr>
                <w:rFonts w:ascii="宋体" w:hAnsi="宋体" w:cs="宋体"/>
                <w:sz w:val="24"/>
              </w:rPr>
            </w:pPr>
          </w:p>
        </w:tc>
        <w:tc>
          <w:tcPr>
            <w:tcW w:w="1259" w:type="dxa"/>
            <w:noWrap w:val="0"/>
            <w:vAlign w:val="center"/>
          </w:tcPr>
          <w:p>
            <w:pPr>
              <w:jc w:val="left"/>
              <w:rPr>
                <w:rFonts w:ascii="宋体" w:hAnsi="宋体" w:cs="宋体"/>
                <w:sz w:val="24"/>
              </w:rPr>
            </w:pPr>
          </w:p>
        </w:tc>
        <w:tc>
          <w:tcPr>
            <w:tcW w:w="1029" w:type="dxa"/>
            <w:noWrap w:val="0"/>
            <w:vAlign w:val="center"/>
          </w:tcPr>
          <w:p>
            <w:pPr>
              <w:jc w:val="left"/>
              <w:rPr>
                <w:rFonts w:ascii="宋体" w:hAnsi="宋体" w:cs="宋体"/>
                <w:sz w:val="24"/>
              </w:rPr>
            </w:pPr>
          </w:p>
        </w:tc>
        <w:tc>
          <w:tcPr>
            <w:tcW w:w="953" w:type="dxa"/>
            <w:gridSpan w:val="2"/>
            <w:noWrap w:val="0"/>
            <w:vAlign w:val="center"/>
          </w:tcPr>
          <w:p>
            <w:pPr>
              <w:jc w:val="left"/>
              <w:rPr>
                <w:rFonts w:ascii="宋体" w:hAnsi="宋体" w:cs="宋体"/>
                <w:sz w:val="24"/>
              </w:rPr>
            </w:pPr>
          </w:p>
        </w:tc>
        <w:tc>
          <w:tcPr>
            <w:tcW w:w="976" w:type="dxa"/>
            <w:gridSpan w:val="2"/>
            <w:noWrap w:val="0"/>
            <w:vAlign w:val="center"/>
          </w:tcPr>
          <w:p>
            <w:pPr>
              <w:jc w:val="left"/>
              <w:rPr>
                <w:rFonts w:ascii="宋体" w:hAnsi="宋体" w:cs="宋体"/>
                <w:sz w:val="24"/>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454" w:hRule="exact"/>
          <w:jc w:val="center"/>
        </w:trPr>
        <w:tc>
          <w:tcPr>
            <w:tcW w:w="2646" w:type="dxa"/>
            <w:gridSpan w:val="3"/>
            <w:noWrap w:val="0"/>
            <w:vAlign w:val="center"/>
          </w:tcPr>
          <w:p>
            <w:pPr>
              <w:jc w:val="center"/>
              <w:rPr>
                <w:rFonts w:hint="default" w:ascii="宋体" w:hAnsi="宋体" w:eastAsia="仿宋_GB2312" w:cs="宋体"/>
                <w:b/>
                <w:sz w:val="24"/>
                <w:lang w:val="en-US" w:eastAsia="zh-CN"/>
              </w:rPr>
            </w:pPr>
            <w:r>
              <w:rPr>
                <w:rFonts w:hint="eastAsia" w:ascii="宋体" w:hAnsi="宋体" w:cs="宋体"/>
                <w:b/>
                <w:sz w:val="24"/>
                <w:lang w:eastAsia="zh-CN"/>
              </w:rPr>
              <w:t>近三年拥有知识产权数</w:t>
            </w:r>
          </w:p>
        </w:tc>
        <w:tc>
          <w:tcPr>
            <w:tcW w:w="1091" w:type="dxa"/>
            <w:gridSpan w:val="2"/>
            <w:noWrap w:val="0"/>
            <w:vAlign w:val="center"/>
          </w:tcPr>
          <w:p>
            <w:pPr>
              <w:jc w:val="center"/>
              <w:rPr>
                <w:rFonts w:hint="default" w:ascii="宋体" w:hAnsi="宋体" w:cs="宋体"/>
                <w:b w:val="0"/>
                <w:bCs/>
                <w:sz w:val="24"/>
                <w:lang w:val="en-US" w:eastAsia="zh-CN"/>
              </w:rPr>
            </w:pPr>
            <w:r>
              <w:rPr>
                <w:rFonts w:hint="eastAsia" w:ascii="宋体" w:hAnsi="宋体" w:cs="宋体"/>
                <w:b w:val="0"/>
                <w:bCs/>
                <w:sz w:val="24"/>
                <w:lang w:eastAsia="zh-CN"/>
              </w:rPr>
              <w:t>发明专利</w:t>
            </w:r>
          </w:p>
        </w:tc>
        <w:tc>
          <w:tcPr>
            <w:tcW w:w="1007" w:type="dxa"/>
            <w:noWrap w:val="0"/>
            <w:vAlign w:val="center"/>
          </w:tcPr>
          <w:p>
            <w:pPr>
              <w:jc w:val="center"/>
              <w:rPr>
                <w:rFonts w:hint="eastAsia" w:ascii="宋体" w:hAnsi="宋体" w:cs="宋体"/>
                <w:b w:val="0"/>
                <w:bCs/>
                <w:sz w:val="24"/>
                <w:lang w:eastAsia="zh-CN"/>
              </w:rPr>
            </w:pPr>
          </w:p>
        </w:tc>
        <w:tc>
          <w:tcPr>
            <w:tcW w:w="1259" w:type="dxa"/>
            <w:noWrap w:val="0"/>
            <w:vAlign w:val="center"/>
          </w:tcPr>
          <w:p>
            <w:pPr>
              <w:jc w:val="center"/>
              <w:rPr>
                <w:rFonts w:hint="eastAsia" w:ascii="宋体" w:hAnsi="宋体" w:cs="宋体"/>
                <w:b w:val="0"/>
                <w:bCs/>
                <w:sz w:val="24"/>
                <w:lang w:eastAsia="zh-CN"/>
              </w:rPr>
            </w:pPr>
            <w:r>
              <w:rPr>
                <w:rFonts w:hint="eastAsia" w:ascii="宋体" w:hAnsi="宋体" w:cs="宋体"/>
                <w:b w:val="0"/>
                <w:bCs/>
                <w:sz w:val="24"/>
                <w:lang w:val="en-US" w:eastAsia="zh-CN"/>
              </w:rPr>
              <w:t>实用新型</w:t>
            </w:r>
          </w:p>
        </w:tc>
        <w:tc>
          <w:tcPr>
            <w:tcW w:w="1029" w:type="dxa"/>
            <w:noWrap w:val="0"/>
            <w:vAlign w:val="center"/>
          </w:tcPr>
          <w:p>
            <w:pPr>
              <w:jc w:val="center"/>
              <w:rPr>
                <w:rFonts w:hint="eastAsia" w:ascii="宋体" w:hAnsi="宋体" w:cs="宋体"/>
                <w:b w:val="0"/>
                <w:bCs/>
                <w:sz w:val="24"/>
                <w:lang w:eastAsia="zh-CN"/>
              </w:rPr>
            </w:pPr>
          </w:p>
        </w:tc>
        <w:tc>
          <w:tcPr>
            <w:tcW w:w="953" w:type="dxa"/>
            <w:gridSpan w:val="2"/>
            <w:noWrap w:val="0"/>
            <w:vAlign w:val="center"/>
          </w:tcPr>
          <w:p>
            <w:pPr>
              <w:jc w:val="center"/>
              <w:rPr>
                <w:rFonts w:hint="eastAsia" w:ascii="宋体" w:hAnsi="宋体" w:cs="宋体"/>
                <w:b w:val="0"/>
                <w:bCs/>
                <w:sz w:val="24"/>
                <w:lang w:eastAsia="zh-CN"/>
              </w:rPr>
            </w:pPr>
            <w:r>
              <w:rPr>
                <w:rFonts w:hint="eastAsia" w:ascii="宋体" w:hAnsi="宋体" w:cs="宋体"/>
                <w:b w:val="0"/>
                <w:bCs/>
                <w:sz w:val="24"/>
                <w:lang w:val="en-US" w:eastAsia="zh-CN"/>
              </w:rPr>
              <w:t>软著</w:t>
            </w:r>
          </w:p>
        </w:tc>
        <w:tc>
          <w:tcPr>
            <w:tcW w:w="976" w:type="dxa"/>
            <w:gridSpan w:val="2"/>
            <w:noWrap w:val="0"/>
            <w:vAlign w:val="center"/>
          </w:tcPr>
          <w:p>
            <w:pPr>
              <w:jc w:val="left"/>
              <w:rPr>
                <w:rFonts w:hint="eastAsia" w:ascii="宋体" w:hAnsi="宋体" w:cs="宋体"/>
                <w:b/>
                <w:sz w:val="24"/>
                <w:lang w:eastAsia="zh-CN"/>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0" w:type="dxa"/>
            <w:bottom w:w="0" w:type="dxa"/>
            <w:right w:w="0" w:type="dxa"/>
          </w:tblCellMar>
        </w:tblPrEx>
        <w:trPr>
          <w:trHeight w:val="3097" w:hRule="exact"/>
          <w:jc w:val="center"/>
        </w:trPr>
        <w:tc>
          <w:tcPr>
            <w:tcW w:w="8961" w:type="dxa"/>
            <w:gridSpan w:val="12"/>
            <w:noWrap w:val="0"/>
            <w:vAlign w:val="top"/>
          </w:tcPr>
          <w:p>
            <w:pPr>
              <w:jc w:val="both"/>
              <w:rPr>
                <w:rFonts w:hint="eastAsia" w:ascii="宋体" w:hAnsi="宋体" w:eastAsia="华文仿宋" w:cs="宋体"/>
                <w:sz w:val="24"/>
                <w:lang w:eastAsia="zh-CN"/>
              </w:rPr>
            </w:pPr>
            <w:r>
              <w:rPr>
                <w:rFonts w:hint="eastAsia" w:ascii="宋体" w:hAnsi="宋体" w:cs="宋体"/>
                <w:b/>
                <w:sz w:val="24"/>
              </w:rPr>
              <w:t>单位</w:t>
            </w:r>
            <w:r>
              <w:rPr>
                <w:rFonts w:hint="eastAsia" w:ascii="宋体" w:hAnsi="宋体" w:cs="宋体"/>
                <w:b/>
                <w:sz w:val="24"/>
                <w:lang w:eastAsia="zh-CN"/>
              </w:rPr>
              <w:t>认为</w:t>
            </w:r>
            <w:r>
              <w:rPr>
                <w:rFonts w:hint="eastAsia" w:ascii="宋体" w:hAnsi="宋体" w:cs="宋体"/>
                <w:b/>
                <w:sz w:val="24"/>
              </w:rPr>
              <w:t>需要说明的</w:t>
            </w:r>
            <w:r>
              <w:rPr>
                <w:rFonts w:hint="eastAsia" w:ascii="宋体" w:hAnsi="宋体" w:cs="宋体"/>
                <w:b/>
                <w:sz w:val="24"/>
                <w:lang w:eastAsia="zh-CN"/>
              </w:rPr>
              <w:t>其他情况</w:t>
            </w:r>
            <w:r>
              <w:rPr>
                <w:rFonts w:hint="eastAsia" w:ascii="华文仿宋" w:hAnsi="华文仿宋" w:eastAsia="华文仿宋" w:cs="华文仿宋"/>
                <w:sz w:val="21"/>
                <w:szCs w:val="21"/>
              </w:rPr>
              <w:t>：</w:t>
            </w:r>
            <w:r>
              <w:rPr>
                <w:rFonts w:hint="eastAsia" w:ascii="华文仿宋" w:hAnsi="华文仿宋" w:eastAsia="华文仿宋" w:cs="华文仿宋"/>
                <w:sz w:val="21"/>
                <w:szCs w:val="21"/>
                <w:lang w:eastAsia="zh-CN"/>
              </w:rPr>
              <w:t>包括在行业的地位、主要产品、发展前景等内容。</w:t>
            </w:r>
          </w:p>
        </w:tc>
      </w:tr>
    </w:tbl>
    <w:p>
      <w:pPr>
        <w:spacing w:line="360" w:lineRule="exact"/>
        <w:rPr>
          <w:rFonts w:hint="eastAsia" w:eastAsia="黑体"/>
          <w:b w:val="0"/>
          <w:bCs/>
        </w:rPr>
      </w:pPr>
    </w:p>
    <w:p>
      <w:pPr>
        <w:spacing w:line="360" w:lineRule="exact"/>
        <w:jc w:val="center"/>
        <w:rPr>
          <w:rFonts w:hint="eastAsia" w:ascii="黑体" w:hAnsi="黑体" w:eastAsia="黑体"/>
          <w:sz w:val="36"/>
          <w:szCs w:val="36"/>
        </w:rPr>
      </w:pPr>
      <w:r>
        <w:rPr>
          <w:rFonts w:hint="eastAsia" w:ascii="黑体" w:hAnsi="黑体" w:eastAsia="黑体"/>
          <w:sz w:val="36"/>
          <w:szCs w:val="36"/>
        </w:rPr>
        <w:t>项目</w:t>
      </w:r>
      <w:r>
        <w:rPr>
          <w:rFonts w:hint="eastAsia" w:ascii="黑体" w:hAnsi="黑体" w:eastAsia="黑体"/>
          <w:sz w:val="36"/>
          <w:szCs w:val="36"/>
          <w:lang w:eastAsia="zh-CN"/>
        </w:rPr>
        <w:t>揭榜</w:t>
      </w:r>
      <w:r>
        <w:rPr>
          <w:rFonts w:hint="eastAsia" w:ascii="黑体" w:hAnsi="黑体" w:eastAsia="黑体"/>
          <w:sz w:val="36"/>
          <w:szCs w:val="36"/>
        </w:rPr>
        <w:t>申报书</w:t>
      </w:r>
      <w:r>
        <w:rPr>
          <w:rFonts w:hint="eastAsia" w:ascii="楷体" w:hAnsi="楷体" w:eastAsia="楷体" w:cs="楷体"/>
          <w:sz w:val="32"/>
          <w:szCs w:val="32"/>
          <w:lang w:eastAsia="zh-CN"/>
        </w:rPr>
        <w:t>（</w:t>
      </w:r>
      <w:r>
        <w:rPr>
          <w:rFonts w:hint="eastAsia" w:ascii="楷体" w:hAnsi="楷体" w:eastAsia="楷体" w:cs="楷体"/>
          <w:sz w:val="32"/>
          <w:szCs w:val="32"/>
        </w:rPr>
        <w:t>提纲</w:t>
      </w:r>
      <w:r>
        <w:rPr>
          <w:rFonts w:hint="eastAsia" w:ascii="楷体" w:hAnsi="楷体" w:eastAsia="楷体" w:cs="楷体"/>
          <w:sz w:val="32"/>
          <w:szCs w:val="32"/>
          <w:lang w:eastAsia="zh-CN"/>
        </w:rPr>
        <w:t>）</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一、揭榜依据</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1.问题解析</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国内外现状、水平和发展趋势（含知识产权状况和技术标准状况）；经济建设和社会发展需求；科学技术价值、特色和创新点。</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2.已有技术积累和技术条件</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针对揭榜问题，项目单位情况已有的研究基础和设施、技术条件和已取得的知识产权情况等。</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3.项目考核标的及预期达成目标</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包括对项目完成进度的预期以及完成指标的预期等。</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二、项目</w:t>
      </w:r>
      <w:r>
        <w:rPr>
          <w:rFonts w:hint="eastAsia" w:ascii="方正仿宋_GBK" w:hAnsi="方正仿宋_GBK" w:eastAsia="方正仿宋_GBK" w:cs="方正仿宋_GBK"/>
          <w:b/>
          <w:sz w:val="32"/>
          <w:szCs w:val="32"/>
          <w:lang w:eastAsia="zh-CN"/>
        </w:rPr>
        <w:t>研究</w:t>
      </w:r>
      <w:r>
        <w:rPr>
          <w:rFonts w:hint="eastAsia" w:ascii="方正仿宋_GBK" w:hAnsi="方正仿宋_GBK" w:eastAsia="方正仿宋_GBK" w:cs="方正仿宋_GBK"/>
          <w:b/>
          <w:sz w:val="32"/>
          <w:szCs w:val="32"/>
        </w:rPr>
        <w:t>方案及创新点</w:t>
      </w:r>
    </w:p>
    <w:p>
      <w:pPr>
        <w:spacing w:line="520" w:lineRule="exact"/>
        <w:ind w:firstLine="560"/>
        <w:rPr>
          <w:rFonts w:hint="eastAsia" w:ascii="方正仿宋_GBK" w:hAnsi="方正仿宋_GBK" w:eastAsia="方正仿宋_GBK" w:cs="方正仿宋_GBK"/>
          <w:spacing w:val="-11"/>
          <w:lang w:eastAsia="zh-CN"/>
        </w:rPr>
      </w:pPr>
      <w:r>
        <w:rPr>
          <w:rFonts w:hint="eastAsia" w:ascii="方正仿宋_GBK" w:hAnsi="方正仿宋_GBK" w:eastAsia="方正仿宋_GBK" w:cs="方正仿宋_GBK"/>
          <w:spacing w:val="-11"/>
        </w:rPr>
        <w:t>1.针对项目问题拟采用的解决方案/方法/工艺，方案先进性评估等</w:t>
      </w:r>
      <w:r>
        <w:rPr>
          <w:rFonts w:hint="eastAsia" w:ascii="方正仿宋_GBK" w:hAnsi="方正仿宋_GBK" w:eastAsia="方正仿宋_GBK" w:cs="方正仿宋_GBK"/>
          <w:spacing w:val="-11"/>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2.项目实施</w:t>
      </w:r>
      <w:r>
        <w:rPr>
          <w:rFonts w:hint="eastAsia" w:ascii="方正仿宋_GBK" w:hAnsi="方正仿宋_GBK" w:eastAsia="方正仿宋_GBK" w:cs="方正仿宋_GBK"/>
          <w:lang w:eastAsia="zh-CN"/>
        </w:rPr>
        <w:t>可能</w:t>
      </w:r>
      <w:r>
        <w:rPr>
          <w:rFonts w:hint="eastAsia" w:ascii="方正仿宋_GBK" w:hAnsi="方正仿宋_GBK" w:eastAsia="方正仿宋_GBK" w:cs="方正仿宋_GBK"/>
        </w:rPr>
        <w:t>面临的难点、风险及应对措施</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3.项目创新点（描述项目预期可交付成果的创新点）</w:t>
      </w:r>
      <w:r>
        <w:rPr>
          <w:rFonts w:hint="eastAsia" w:ascii="方正仿宋_GBK" w:hAnsi="方正仿宋_GBK" w:eastAsia="方正仿宋_GBK" w:cs="方正仿宋_GBK"/>
          <w:lang w:eastAsia="zh-CN"/>
        </w:rPr>
        <w:t>。</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三、项目实施</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1.项目负责人及团队成员履历及能力评价</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2.项目实施的可行性分析</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3.项目实施计划</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项目进度计划及关键里程碑节点</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按季度、年度列出计划进度和关键的、必须实现的节点目标。</w:t>
      </w:r>
    </w:p>
    <w:p>
      <w:pPr>
        <w:spacing w:line="520" w:lineRule="exact"/>
        <w:ind w:firstLine="560"/>
        <w:rPr>
          <w:rFonts w:hint="default" w:ascii="方正仿宋_GBK" w:hAnsi="方正仿宋_GBK" w:eastAsia="方正仿宋_GBK" w:cs="方正仿宋_GBK"/>
          <w:lang w:val="en-US" w:eastAsia="zh-CN"/>
        </w:rPr>
      </w:pPr>
      <w:r>
        <w:rPr>
          <w:rFonts w:hint="eastAsia" w:ascii="方正仿宋_GBK" w:hAnsi="方正仿宋_GBK" w:eastAsia="方正仿宋_GBK" w:cs="方正仿宋_GBK"/>
          <w:lang w:val="en-US" w:eastAsia="zh-CN"/>
        </w:rPr>
        <w:t>4.需要发榜方提供的协助内容。</w:t>
      </w:r>
    </w:p>
    <w:p>
      <w:pPr>
        <w:spacing w:line="520" w:lineRule="exact"/>
        <w:ind w:firstLine="560"/>
        <w:outlineLvl w:val="0"/>
        <w:rPr>
          <w:rFonts w:hint="eastAsia" w:ascii="方正仿宋_GBK" w:hAnsi="方正仿宋_GBK" w:eastAsia="方正仿宋_GBK" w:cs="方正仿宋_GBK"/>
          <w:b/>
          <w:sz w:val="32"/>
          <w:szCs w:val="32"/>
        </w:rPr>
      </w:pPr>
      <w:r>
        <w:rPr>
          <w:rFonts w:hint="eastAsia" w:ascii="方正仿宋_GBK" w:hAnsi="方正仿宋_GBK" w:eastAsia="方正仿宋_GBK" w:cs="方正仿宋_GBK"/>
          <w:b/>
          <w:sz w:val="32"/>
          <w:szCs w:val="32"/>
        </w:rPr>
        <w:t>四、项目验收</w:t>
      </w:r>
    </w:p>
    <w:p>
      <w:pPr>
        <w:spacing w:line="520" w:lineRule="exact"/>
        <w:ind w:firstLine="560"/>
        <w:rPr>
          <w:rFonts w:hint="eastAsia" w:ascii="方正仿宋_GBK" w:hAnsi="方正仿宋_GBK" w:eastAsia="方正仿宋_GBK" w:cs="方正仿宋_GBK"/>
        </w:rPr>
      </w:pPr>
      <w:r>
        <w:rPr>
          <w:rFonts w:hint="eastAsia" w:ascii="方正仿宋_GBK" w:hAnsi="方正仿宋_GBK" w:eastAsia="方正仿宋_GBK" w:cs="方正仿宋_GBK"/>
        </w:rPr>
        <w:t>1.项目成果验收</w:t>
      </w:r>
    </w:p>
    <w:p>
      <w:pPr>
        <w:spacing w:line="520" w:lineRule="exact"/>
        <w:ind w:firstLine="560"/>
        <w:rPr>
          <w:rFonts w:hint="eastAsia" w:ascii="方正仿宋_GBK" w:hAnsi="方正仿宋_GBK" w:eastAsia="方正仿宋_GBK" w:cs="方正仿宋_GBK"/>
          <w:lang w:eastAsia="zh-CN"/>
        </w:rPr>
      </w:pPr>
      <w:r>
        <w:rPr>
          <w:rFonts w:hint="eastAsia" w:ascii="方正仿宋_GBK" w:hAnsi="方正仿宋_GBK" w:eastAsia="方正仿宋_GBK" w:cs="方正仿宋_GBK"/>
        </w:rPr>
        <w:t>验收</w:t>
      </w:r>
      <w:r>
        <w:rPr>
          <w:rFonts w:hint="eastAsia" w:ascii="方正仿宋_GBK" w:hAnsi="方正仿宋_GBK" w:eastAsia="方正仿宋_GBK" w:cs="方正仿宋_GBK"/>
          <w:lang w:eastAsia="zh-CN"/>
        </w:rPr>
        <w:t>内容</w:t>
      </w:r>
      <w:r>
        <w:rPr>
          <w:rFonts w:hint="eastAsia" w:ascii="方正仿宋_GBK" w:hAnsi="方正仿宋_GBK" w:eastAsia="方正仿宋_GBK" w:cs="方正仿宋_GBK"/>
        </w:rPr>
        <w:t>（明确可被验证的功能及相关性能指标）</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rPr>
        <w:t>验收方式（明确可被验证环境条件及验收作业方法）</w:t>
      </w:r>
      <w:r>
        <w:rPr>
          <w:rFonts w:hint="eastAsia" w:ascii="方正仿宋_GBK" w:hAnsi="方正仿宋_GBK" w:eastAsia="方正仿宋_GBK" w:cs="方正仿宋_GBK"/>
          <w:lang w:eastAsia="zh-CN"/>
        </w:rPr>
        <w:t>。</w:t>
      </w:r>
    </w:p>
    <w:p>
      <w:pPr>
        <w:spacing w:line="520" w:lineRule="exact"/>
        <w:ind w:firstLine="560"/>
        <w:rPr>
          <w:rFonts w:hint="eastAsia" w:ascii="方正仿宋_GBK" w:hAnsi="方正仿宋_GBK" w:eastAsia="方正仿宋_GBK" w:cs="方正仿宋_GBK"/>
          <w:szCs w:val="28"/>
        </w:rPr>
      </w:pPr>
      <w:r>
        <w:rPr>
          <w:rFonts w:hint="eastAsia" w:ascii="方正仿宋_GBK" w:hAnsi="方正仿宋_GBK" w:eastAsia="方正仿宋_GBK" w:cs="方正仿宋_GBK"/>
        </w:rPr>
        <w:t>2.项目成果的意义和价值（技术、经济、工程化的可行性、可应用领域</w:t>
      </w:r>
      <w:r>
        <w:rPr>
          <w:rFonts w:hint="eastAsia" w:ascii="方正仿宋_GBK" w:hAnsi="方正仿宋_GBK" w:eastAsia="方正仿宋_GBK" w:cs="方正仿宋_GBK"/>
          <w:lang w:eastAsia="zh-CN"/>
        </w:rPr>
        <w:t>、</w:t>
      </w:r>
      <w:r>
        <w:rPr>
          <w:rFonts w:hint="eastAsia" w:ascii="方正仿宋_GBK" w:hAnsi="方正仿宋_GBK" w:eastAsia="方正仿宋_GBK" w:cs="方正仿宋_GBK"/>
          <w:lang w:val="en-US" w:eastAsia="zh-CN"/>
        </w:rPr>
        <w:t>培养新疆人才队伍</w:t>
      </w:r>
      <w:r>
        <w:rPr>
          <w:rFonts w:hint="eastAsia" w:ascii="方正仿宋_GBK" w:hAnsi="方正仿宋_GBK" w:eastAsia="方正仿宋_GBK" w:cs="方正仿宋_GBK"/>
        </w:rPr>
        <w:t>等）</w:t>
      </w:r>
    </w:p>
    <w:p>
      <w:pPr>
        <w:spacing w:line="520" w:lineRule="exact"/>
        <w:ind w:firstLine="560"/>
        <w:outlineLvl w:val="0"/>
        <w:rPr>
          <w:rFonts w:hint="eastAsia" w:ascii="方正仿宋_GBK" w:hAnsi="方正仿宋_GBK" w:eastAsia="方正仿宋_GBK" w:cs="方正仿宋_GBK"/>
          <w:b/>
          <w:sz w:val="32"/>
          <w:szCs w:val="32"/>
          <w:lang w:eastAsia="zh-CN"/>
        </w:rPr>
      </w:pPr>
      <w:r>
        <w:rPr>
          <w:rFonts w:hint="eastAsia" w:ascii="方正仿宋_GBK" w:hAnsi="方正仿宋_GBK" w:eastAsia="方正仿宋_GBK" w:cs="方正仿宋_GBK"/>
          <w:b/>
          <w:sz w:val="32"/>
          <w:szCs w:val="32"/>
        </w:rPr>
        <w:t>五、</w:t>
      </w:r>
      <w:r>
        <w:rPr>
          <w:rFonts w:hint="eastAsia" w:ascii="方正仿宋_GBK" w:hAnsi="方正仿宋_GBK" w:eastAsia="方正仿宋_GBK" w:cs="方正仿宋_GBK"/>
          <w:b/>
          <w:sz w:val="32"/>
          <w:szCs w:val="32"/>
          <w:lang w:eastAsia="zh-CN"/>
        </w:rPr>
        <w:t>对产生的知识产权归属要求</w:t>
      </w:r>
    </w:p>
    <w:p>
      <w:pPr>
        <w:spacing w:line="520" w:lineRule="exact"/>
        <w:ind w:firstLine="560"/>
        <w:outlineLvl w:val="0"/>
        <w:rPr>
          <w:rFonts w:hint="eastAsia" w:ascii="方正仿宋_GBK" w:hAnsi="方正仿宋_GBK" w:eastAsia="方正仿宋_GBK" w:cs="方正仿宋_GBK"/>
          <w:szCs w:val="28"/>
        </w:rPr>
      </w:pPr>
      <w:r>
        <w:rPr>
          <w:rFonts w:hint="eastAsia" w:ascii="方正仿宋_GBK" w:hAnsi="方正仿宋_GBK" w:eastAsia="方正仿宋_GBK" w:cs="方正仿宋_GBK"/>
          <w:b/>
          <w:sz w:val="32"/>
          <w:szCs w:val="32"/>
          <w:lang w:eastAsia="zh-CN"/>
        </w:rPr>
        <w:t>六、</w:t>
      </w:r>
      <w:r>
        <w:rPr>
          <w:rFonts w:hint="eastAsia" w:ascii="方正仿宋_GBK" w:hAnsi="方正仿宋_GBK" w:eastAsia="方正仿宋_GBK" w:cs="方正仿宋_GBK"/>
          <w:b/>
          <w:sz w:val="32"/>
          <w:szCs w:val="32"/>
        </w:rPr>
        <w:t>经费预算</w:t>
      </w:r>
      <w:r>
        <w:rPr>
          <w:rFonts w:hint="eastAsia" w:ascii="方正仿宋_GBK" w:hAnsi="方正仿宋_GBK" w:eastAsia="方正仿宋_GBK" w:cs="方正仿宋_GBK"/>
          <w:szCs w:val="28"/>
        </w:rPr>
        <w:tab/>
      </w:r>
    </w:p>
    <w:tbl>
      <w:tblPr>
        <w:tblStyle w:val="8"/>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3405"/>
        <w:gridCol w:w="1103"/>
        <w:gridCol w:w="347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54" w:hRule="atLeast"/>
          <w:jc w:val="center"/>
        </w:trPr>
        <w:tc>
          <w:tcPr>
            <w:tcW w:w="3405" w:type="dxa"/>
            <w:noWrap w:val="0"/>
            <w:vAlign w:val="center"/>
          </w:tcPr>
          <w:p>
            <w:pPr>
              <w:jc w:val="center"/>
            </w:pPr>
            <w:bookmarkStart w:id="2" w:name="_Toc482282858"/>
            <w:bookmarkStart w:id="3" w:name="_Toc475713298"/>
            <w:r>
              <w:rPr>
                <w:rFonts w:hint="eastAsia" w:ascii="黑体" w:hAnsi="Calibri" w:eastAsia="黑体"/>
                <w:bCs/>
                <w:sz w:val="22"/>
                <w:szCs w:val="21"/>
              </w:rPr>
              <w:t>科目名称</w:t>
            </w:r>
          </w:p>
        </w:tc>
        <w:tc>
          <w:tcPr>
            <w:tcW w:w="1103" w:type="dxa"/>
            <w:noWrap w:val="0"/>
            <w:vAlign w:val="center"/>
          </w:tcPr>
          <w:p>
            <w:pPr>
              <w:jc w:val="center"/>
              <w:rPr>
                <w:rFonts w:hint="eastAsia" w:eastAsia="黑体"/>
                <w:lang w:eastAsia="zh-CN"/>
              </w:rPr>
            </w:pPr>
            <w:r>
              <w:rPr>
                <w:rFonts w:hint="eastAsia" w:ascii="黑体" w:hAnsi="Calibri" w:eastAsia="黑体"/>
                <w:bCs/>
                <w:sz w:val="22"/>
                <w:szCs w:val="21"/>
              </w:rPr>
              <w:t>所需经费</w:t>
            </w:r>
            <w:r>
              <w:rPr>
                <w:rFonts w:hint="eastAsia" w:ascii="黑体" w:hAnsi="Calibri" w:eastAsia="黑体"/>
                <w:bCs/>
                <w:sz w:val="22"/>
                <w:szCs w:val="21"/>
                <w:lang w:eastAsia="zh-CN"/>
              </w:rPr>
              <w:t>（万元）</w:t>
            </w:r>
          </w:p>
        </w:tc>
        <w:tc>
          <w:tcPr>
            <w:tcW w:w="3477" w:type="dxa"/>
            <w:noWrap w:val="0"/>
            <w:vAlign w:val="center"/>
          </w:tcPr>
          <w:p>
            <w:pPr>
              <w:jc w:val="center"/>
            </w:pPr>
            <w:r>
              <w:rPr>
                <w:rFonts w:hint="eastAsia" w:ascii="黑体" w:hAnsi="Calibri" w:eastAsia="黑体"/>
                <w:bCs/>
                <w:sz w:val="22"/>
                <w:szCs w:val="21"/>
              </w:rPr>
              <w:t>计算依据</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center"/>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经费预算（合计）</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1.设备费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（1）购置设备费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（2）试制设备费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（3）设备改造与租赁费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sz w:val="22"/>
                <w:szCs w:val="21"/>
                <w:lang w:eastAsia="zh-CN"/>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4</w:t>
            </w:r>
            <w:r>
              <w:rPr>
                <w:rFonts w:hint="eastAsia" w:ascii="方正仿宋_GBK" w:hAnsi="方正仿宋_GBK" w:eastAsia="方正仿宋_GBK" w:cs="方正仿宋_GBK"/>
                <w:sz w:val="22"/>
                <w:szCs w:val="21"/>
                <w:lang w:eastAsia="zh-CN"/>
              </w:rPr>
              <w:t>）软件费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rPr>
              <w:t>2.</w:t>
            </w:r>
            <w:r>
              <w:rPr>
                <w:rFonts w:hint="eastAsia" w:ascii="方正仿宋_GBK" w:hAnsi="方正仿宋_GBK" w:eastAsia="方正仿宋_GBK" w:cs="方正仿宋_GBK"/>
                <w:sz w:val="22"/>
                <w:szCs w:val="21"/>
                <w:lang w:eastAsia="zh-CN"/>
              </w:rPr>
              <w:t>业务费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sz w:val="22"/>
                <w:szCs w:val="21"/>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1</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材料费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2</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测试化验加工费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3</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燃料动力费</w:t>
            </w:r>
          </w:p>
        </w:tc>
        <w:tc>
          <w:tcPr>
            <w:tcW w:w="1103" w:type="dxa"/>
            <w:noWrap w:val="0"/>
            <w:vAlign w:val="center"/>
          </w:tcPr>
          <w:p>
            <w:pPr>
              <w:autoSpaceDN w:val="0"/>
              <w:jc w:val="righ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4</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差旅费</w:t>
            </w:r>
          </w:p>
        </w:tc>
        <w:tc>
          <w:tcPr>
            <w:tcW w:w="1103" w:type="dxa"/>
            <w:noWrap w:val="0"/>
            <w:vAlign w:val="center"/>
          </w:tcPr>
          <w:p>
            <w:pPr>
              <w:autoSpaceDN w:val="0"/>
              <w:jc w:val="left"/>
              <w:textAlignment w:val="center"/>
            </w:pPr>
          </w:p>
        </w:tc>
        <w:tc>
          <w:tcPr>
            <w:tcW w:w="3477" w:type="dxa"/>
            <w:noWrap w:val="0"/>
            <w:vAlign w:val="center"/>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5</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知识产权事务费</w:t>
            </w:r>
          </w:p>
        </w:tc>
        <w:tc>
          <w:tcPr>
            <w:tcW w:w="1103" w:type="dxa"/>
            <w:noWrap w:val="0"/>
            <w:vAlign w:val="center"/>
          </w:tcPr>
          <w:p>
            <w:pPr>
              <w:autoSpaceDN w:val="0"/>
              <w:jc w:val="left"/>
              <w:textAlignment w:val="center"/>
            </w:pPr>
          </w:p>
        </w:tc>
        <w:tc>
          <w:tcPr>
            <w:tcW w:w="347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lang w:val="en-US" w:eastAsia="zh-CN"/>
              </w:rPr>
              <w:t>6</w:t>
            </w:r>
            <w:r>
              <w:rPr>
                <w:rFonts w:hint="eastAsia" w:ascii="方正仿宋_GBK" w:hAnsi="方正仿宋_GBK" w:eastAsia="方正仿宋_GBK" w:cs="方正仿宋_GBK"/>
                <w:sz w:val="22"/>
                <w:szCs w:val="21"/>
                <w:lang w:eastAsia="zh-CN"/>
              </w:rPr>
              <w:t>）</w:t>
            </w:r>
            <w:r>
              <w:rPr>
                <w:rFonts w:hint="eastAsia" w:ascii="方正仿宋_GBK" w:hAnsi="方正仿宋_GBK" w:eastAsia="方正仿宋_GBK" w:cs="方正仿宋_GBK"/>
                <w:sz w:val="22"/>
                <w:szCs w:val="21"/>
              </w:rPr>
              <w:t>其他</w:t>
            </w:r>
            <w:r>
              <w:rPr>
                <w:rFonts w:hint="eastAsia" w:ascii="方正仿宋_GBK" w:hAnsi="方正仿宋_GBK" w:eastAsia="方正仿宋_GBK" w:cs="方正仿宋_GBK"/>
                <w:sz w:val="22"/>
                <w:szCs w:val="21"/>
                <w:lang w:eastAsia="zh-CN"/>
              </w:rPr>
              <w:t>业务</w:t>
            </w:r>
            <w:r>
              <w:rPr>
                <w:rFonts w:hint="eastAsia" w:ascii="方正仿宋_GBK" w:hAnsi="方正仿宋_GBK" w:eastAsia="方正仿宋_GBK" w:cs="方正仿宋_GBK"/>
                <w:sz w:val="22"/>
                <w:szCs w:val="21"/>
              </w:rPr>
              <w:t>费用</w:t>
            </w:r>
          </w:p>
        </w:tc>
        <w:tc>
          <w:tcPr>
            <w:tcW w:w="1103" w:type="dxa"/>
            <w:noWrap w:val="0"/>
            <w:vAlign w:val="center"/>
          </w:tcPr>
          <w:p>
            <w:pPr>
              <w:autoSpaceDN w:val="0"/>
              <w:jc w:val="left"/>
              <w:textAlignment w:val="center"/>
            </w:pPr>
          </w:p>
        </w:tc>
        <w:tc>
          <w:tcPr>
            <w:tcW w:w="347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eastAsia" w:ascii="方正仿宋_GBK" w:hAnsi="方正仿宋_GBK" w:eastAsia="方正仿宋_GBK" w:cs="方正仿宋_GBK"/>
              </w:rPr>
            </w:pPr>
            <w:r>
              <w:rPr>
                <w:rFonts w:hint="eastAsia" w:ascii="方正仿宋_GBK" w:hAnsi="方正仿宋_GBK" w:eastAsia="方正仿宋_GBK" w:cs="方正仿宋_GBK"/>
                <w:sz w:val="22"/>
                <w:szCs w:val="21"/>
                <w:lang w:val="en-US" w:eastAsia="zh-CN"/>
              </w:rPr>
              <w:t>3</w:t>
            </w:r>
            <w:r>
              <w:rPr>
                <w:rFonts w:hint="eastAsia" w:ascii="方正仿宋_GBK" w:hAnsi="方正仿宋_GBK" w:eastAsia="方正仿宋_GBK" w:cs="方正仿宋_GBK"/>
                <w:sz w:val="22"/>
                <w:szCs w:val="21"/>
              </w:rPr>
              <w:t>.劳务费</w:t>
            </w:r>
          </w:p>
        </w:tc>
        <w:tc>
          <w:tcPr>
            <w:tcW w:w="1103" w:type="dxa"/>
            <w:noWrap w:val="0"/>
            <w:vAlign w:val="center"/>
          </w:tcPr>
          <w:p>
            <w:pPr>
              <w:autoSpaceDN w:val="0"/>
              <w:jc w:val="left"/>
              <w:textAlignment w:val="center"/>
            </w:pPr>
          </w:p>
        </w:tc>
        <w:tc>
          <w:tcPr>
            <w:tcW w:w="3477" w:type="dxa"/>
            <w:noWrap w:val="0"/>
            <w:vAlign w:val="top"/>
          </w:tcPr>
          <w:p>
            <w:pPr>
              <w:jc w:val="cente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3405" w:type="dxa"/>
            <w:noWrap w:val="0"/>
            <w:vAlign w:val="center"/>
          </w:tcPr>
          <w:p>
            <w:pPr>
              <w:autoSpaceDN w:val="0"/>
              <w:jc w:val="left"/>
              <w:textAlignment w:val="center"/>
              <w:rPr>
                <w:rFonts w:hint="default" w:ascii="方正仿宋_GBK" w:hAnsi="方正仿宋_GBK" w:eastAsia="方正仿宋_GBK" w:cs="方正仿宋_GBK"/>
                <w:sz w:val="22"/>
                <w:szCs w:val="21"/>
                <w:lang w:val="en-US" w:eastAsia="zh-CN"/>
              </w:rPr>
            </w:pPr>
            <w:r>
              <w:rPr>
                <w:rFonts w:hint="eastAsia" w:ascii="方正仿宋_GBK" w:hAnsi="方正仿宋_GBK" w:eastAsia="方正仿宋_GBK" w:cs="方正仿宋_GBK"/>
                <w:sz w:val="22"/>
                <w:szCs w:val="21"/>
                <w:lang w:val="en-US" w:eastAsia="zh-CN"/>
              </w:rPr>
              <w:t>4.其他费用</w:t>
            </w:r>
          </w:p>
        </w:tc>
        <w:tc>
          <w:tcPr>
            <w:tcW w:w="1103" w:type="dxa"/>
            <w:noWrap w:val="0"/>
            <w:vAlign w:val="center"/>
          </w:tcPr>
          <w:p>
            <w:pPr>
              <w:autoSpaceDN w:val="0"/>
              <w:jc w:val="left"/>
              <w:textAlignment w:val="center"/>
            </w:pPr>
          </w:p>
        </w:tc>
        <w:tc>
          <w:tcPr>
            <w:tcW w:w="3477" w:type="dxa"/>
            <w:noWrap w:val="0"/>
            <w:vAlign w:val="top"/>
          </w:tcPr>
          <w:p>
            <w:pPr>
              <w:jc w:val="center"/>
            </w:pPr>
          </w:p>
        </w:tc>
      </w:tr>
    </w:tbl>
    <w:p>
      <w:pPr>
        <w:keepNext w:val="0"/>
        <w:keepLines w:val="0"/>
        <w:pageBreakBefore w:val="0"/>
        <w:widowControl w:val="0"/>
        <w:kinsoku/>
        <w:wordWrap/>
        <w:overflowPunct/>
        <w:topLinePunct w:val="0"/>
        <w:autoSpaceDE/>
        <w:autoSpaceDN/>
        <w:bidi w:val="0"/>
        <w:adjustRightInd/>
        <w:snapToGrid/>
        <w:spacing w:line="520" w:lineRule="exact"/>
        <w:ind w:firstLine="220" w:firstLineChars="100"/>
        <w:textAlignment w:val="auto"/>
        <w:outlineLvl w:val="9"/>
        <w:rPr>
          <w:rFonts w:hint="eastAsia" w:ascii="方正仿宋_GBK" w:hAnsi="方正仿宋_GBK" w:eastAsia="方正仿宋_GBK" w:cs="方正仿宋_GBK"/>
          <w:szCs w:val="28"/>
        </w:rPr>
      </w:pPr>
      <w:r>
        <w:rPr>
          <w:rFonts w:hint="eastAsia" w:ascii="方正仿宋_GBK" w:hAnsi="方正仿宋_GBK" w:eastAsia="方正仿宋_GBK" w:cs="方正仿宋_GBK"/>
          <w:bCs/>
          <w:sz w:val="22"/>
          <w:szCs w:val="21"/>
        </w:rPr>
        <w:t>计算依据：可另附说明</w:t>
      </w:r>
    </w:p>
    <w:bookmarkEnd w:id="2"/>
    <w:bookmarkEnd w:id="3"/>
    <w:p>
      <w:pPr>
        <w:spacing w:line="520" w:lineRule="exact"/>
        <w:ind w:firstLine="560"/>
        <w:outlineLvl w:val="0"/>
        <w:rPr>
          <w:rFonts w:hint="eastAsia"/>
          <w:b/>
          <w:sz w:val="32"/>
          <w:szCs w:val="32"/>
          <w:lang w:eastAsia="zh-CN"/>
        </w:rPr>
      </w:pPr>
      <w:r>
        <w:rPr>
          <w:rFonts w:hint="eastAsia"/>
          <w:b/>
          <w:sz w:val="32"/>
          <w:szCs w:val="32"/>
          <w:lang w:eastAsia="zh-CN"/>
        </w:rPr>
        <w:t>七、申报单位承诺</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我单位对申报项目的负责人和项目组成员资格及项目申报材料相关内容进行了审核，申请材料真实有效。如项目</w:t>
      </w:r>
      <w:r>
        <w:rPr>
          <w:rFonts w:hint="eastAsia" w:ascii="方正仿宋_GBK" w:hAnsi="方正仿宋_GBK" w:eastAsia="方正仿宋_GBK" w:cs="方正仿宋_GBK"/>
          <w:sz w:val="30"/>
          <w:szCs w:val="30"/>
          <w:lang w:eastAsia="zh-CN"/>
        </w:rPr>
        <w:t>揭榜成功</w:t>
      </w:r>
      <w:r>
        <w:rPr>
          <w:rFonts w:hint="eastAsia" w:ascii="方正仿宋_GBK" w:hAnsi="方正仿宋_GBK" w:eastAsia="方正仿宋_GBK" w:cs="方正仿宋_GBK"/>
          <w:sz w:val="30"/>
          <w:szCs w:val="30"/>
        </w:rPr>
        <w:t>，在项目实施期间，我单位保证对项目实施所需要的人力、物力和工作时间等条件给予保障，严格遵守项目管理的有关规定，严格落实项目经费预算书，建立专项账目，做到专款专用，督促项目负责人和项目组成员按照项目</w:t>
      </w:r>
      <w:r>
        <w:rPr>
          <w:rFonts w:hint="eastAsia" w:ascii="方正仿宋_GBK" w:hAnsi="方正仿宋_GBK" w:eastAsia="方正仿宋_GBK" w:cs="方正仿宋_GBK"/>
          <w:sz w:val="30"/>
          <w:szCs w:val="30"/>
          <w:lang w:eastAsia="zh-CN"/>
        </w:rPr>
        <w:t>任务书</w:t>
      </w:r>
      <w:r>
        <w:rPr>
          <w:rFonts w:hint="eastAsia" w:ascii="方正仿宋_GBK" w:hAnsi="方正仿宋_GBK" w:eastAsia="方正仿宋_GBK" w:cs="方正仿宋_GBK"/>
          <w:sz w:val="30"/>
          <w:szCs w:val="30"/>
        </w:rPr>
        <w:t xml:space="preserve">执行。若申报材料内容信息失实、执行项目中违反规定，本单位将承担相关责任。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ascii="方正仿宋_GBK" w:hAnsi="方正仿宋_GBK" w:eastAsia="方正仿宋_GBK" w:cs="方正仿宋_GBK"/>
          <w:sz w:val="30"/>
          <w:szCs w:val="30"/>
        </w:rPr>
      </w:pPr>
      <w:r>
        <w:rPr>
          <w:rFonts w:hint="eastAsia" w:ascii="方正仿宋_GBK" w:hAnsi="方正仿宋_GBK" w:eastAsia="方正仿宋_GBK" w:cs="方正仿宋_GBK"/>
          <w:sz w:val="30"/>
          <w:szCs w:val="30"/>
        </w:rPr>
        <w:t xml:space="preserve">                  </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center"/>
        <w:textAlignment w:val="auto"/>
        <w:outlineLvl w:val="9"/>
        <w:rPr>
          <w:rFonts w:hint="eastAsia" w:ascii="方正仿宋_GBK" w:hAnsi="方正仿宋_GBK" w:eastAsia="方正仿宋_GBK" w:cs="方正仿宋_GBK"/>
          <w:sz w:val="30"/>
          <w:szCs w:val="30"/>
        </w:rPr>
      </w:pPr>
      <w:r>
        <w:rPr>
          <w:rFonts w:hint="eastAsia" w:ascii="方正仿宋_GBK" w:hAnsi="方正仿宋_GBK" w:eastAsia="方正仿宋_GBK" w:cs="方正仿宋_GBK"/>
          <w:sz w:val="30"/>
          <w:szCs w:val="30"/>
          <w:lang w:val="en-US" w:eastAsia="zh-CN"/>
        </w:rPr>
        <w:t xml:space="preserve">   </w:t>
      </w:r>
      <w:r>
        <w:rPr>
          <w:rFonts w:hint="eastAsia" w:ascii="方正仿宋_GBK" w:hAnsi="方正仿宋_GBK" w:eastAsia="方正仿宋_GBK" w:cs="方正仿宋_GBK"/>
          <w:sz w:val="30"/>
          <w:szCs w:val="30"/>
        </w:rPr>
        <w:t>单位公章：</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left"/>
        <w:textAlignment w:val="auto"/>
        <w:outlineLvl w:val="9"/>
        <w:rPr>
          <w:rFonts w:hint="eastAsia" w:ascii="方正仿宋_GBK" w:hAnsi="方正仿宋_GBK" w:eastAsia="方正仿宋_GBK" w:cs="方正仿宋_GBK"/>
          <w:sz w:val="30"/>
          <w:szCs w:val="30"/>
          <w:lang w:eastAsia="zh-CN"/>
        </w:rPr>
      </w:pPr>
      <w:r>
        <w:rPr>
          <w:rFonts w:hint="eastAsia" w:ascii="方正仿宋_GBK" w:hAnsi="方正仿宋_GBK" w:eastAsia="方正仿宋_GBK" w:cs="方正仿宋_GBK"/>
          <w:sz w:val="30"/>
          <w:szCs w:val="30"/>
          <w:lang w:eastAsia="zh-CN"/>
        </w:rPr>
        <w:t>法定代表人</w:t>
      </w:r>
      <w:r>
        <w:rPr>
          <w:rFonts w:hint="eastAsia" w:ascii="方正仿宋_GBK" w:hAnsi="方正仿宋_GBK" w:eastAsia="方正仿宋_GBK" w:cs="方正仿宋_GBK"/>
          <w:sz w:val="30"/>
          <w:szCs w:val="30"/>
        </w:rPr>
        <w:t>（或授权代理人）签字</w:t>
      </w:r>
      <w:r>
        <w:rPr>
          <w:rFonts w:hint="eastAsia" w:ascii="方正仿宋_GBK" w:hAnsi="方正仿宋_GBK" w:eastAsia="方正仿宋_GBK" w:cs="方正仿宋_GBK"/>
          <w:sz w:val="30"/>
          <w:szCs w:val="30"/>
          <w:lang w:eastAsia="zh-CN"/>
        </w:rPr>
        <w:t>：</w:t>
      </w:r>
    </w:p>
    <w:p>
      <w:pPr>
        <w:keepNext w:val="0"/>
        <w:keepLines w:val="0"/>
        <w:pageBreakBefore w:val="0"/>
        <w:widowControl w:val="0"/>
        <w:tabs>
          <w:tab w:val="left" w:pos="5353"/>
        </w:tabs>
        <w:kinsoku/>
        <w:wordWrap/>
        <w:overflowPunct/>
        <w:topLinePunct w:val="0"/>
        <w:autoSpaceDE/>
        <w:autoSpaceDN/>
        <w:bidi w:val="0"/>
        <w:adjustRightInd/>
        <w:snapToGrid/>
        <w:spacing w:line="520" w:lineRule="exact"/>
        <w:ind w:firstLine="600" w:firstLineChars="200"/>
        <w:jc w:val="center"/>
        <w:textAlignment w:val="auto"/>
        <w:outlineLvl w:val="9"/>
        <w:rPr>
          <w:rFonts w:hint="eastAsia" w:ascii="仿宋" w:hAnsi="仿宋" w:eastAsia="仿宋"/>
          <w:sz w:val="30"/>
          <w:szCs w:val="30"/>
          <w:lang w:eastAsia="zh-CN"/>
        </w:rPr>
      </w:pPr>
      <w:r>
        <w:rPr>
          <w:rFonts w:hint="eastAsia" w:ascii="方正仿宋_GBK" w:hAnsi="方正仿宋_GBK" w:eastAsia="方正仿宋_GBK" w:cs="方正仿宋_GBK"/>
          <w:sz w:val="30"/>
          <w:szCs w:val="30"/>
        </w:rPr>
        <w:t xml:space="preserve">                        年  月  日</w:t>
      </w:r>
    </w:p>
    <w:p>
      <w:pPr>
        <w:pStyle w:val="2"/>
        <w:rPr>
          <w:rFonts w:hint="eastAsia" w:ascii="方正仿宋_GBK" w:eastAsia="方正仿宋_GBK"/>
          <w:sz w:val="32"/>
          <w:szCs w:val="32"/>
          <w:lang w:eastAsia="zh-CN"/>
        </w:rPr>
      </w:pPr>
    </w:p>
    <w:p>
      <w:pPr>
        <w:pStyle w:val="2"/>
        <w:rPr>
          <w:rFonts w:hint="eastAsia" w:ascii="方正仿宋_GBK" w:eastAsia="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eastAsia" w:ascii="方正仿宋_GBK" w:hAnsi="方正仿宋_GBK" w:eastAsia="方正仿宋_GBK" w:cs="方正仿宋_GBK"/>
          <w:sz w:val="32"/>
          <w:szCs w:val="32"/>
          <w:lang w:val="en-US" w:eastAsia="zh-CN"/>
        </w:rPr>
      </w:pPr>
    </w:p>
    <w:p>
      <w:pPr>
        <w:keepNext w:val="0"/>
        <w:keepLines w:val="0"/>
        <w:pageBreakBefore w:val="0"/>
        <w:widowControl w:val="0"/>
        <w:kinsoku/>
        <w:wordWrap/>
        <w:overflowPunct/>
        <w:topLinePunct w:val="0"/>
        <w:autoSpaceDE/>
        <w:autoSpaceDN/>
        <w:bidi w:val="0"/>
        <w:adjustRightInd/>
        <w:snapToGrid/>
        <w:spacing w:line="560" w:lineRule="exact"/>
        <w:ind w:firstLine="4160" w:firstLineChars="1300"/>
        <w:textAlignment w:val="auto"/>
        <w:rPr>
          <w:rFonts w:hint="default" w:ascii="方正仿宋_GBK" w:hAnsi="方正仿宋_GBK" w:eastAsia="方正仿宋_GBK" w:cs="方正仿宋_GBK"/>
          <w:sz w:val="32"/>
          <w:szCs w:val="32"/>
          <w:lang w:val="en-US"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EFF" w:usb1="C000785B" w:usb2="00000009" w:usb3="00000000" w:csb0="400001FF" w:csb1="FFFF0000"/>
  </w:font>
  <w:font w:name="宋体">
    <w:panose1 w:val="02010600030101010101"/>
    <w:charset w:val="88"/>
    <w:family w:val="swiss"/>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方正小标宋_GBK">
    <w:altName w:val="微软雅黑"/>
    <w:panose1 w:val="03000509000000000000"/>
    <w:charset w:val="86"/>
    <w:family w:val="auto"/>
    <w:pitch w:val="default"/>
    <w:sig w:usb0="00000000" w:usb1="00000000" w:usb2="00000000" w:usb3="00000000" w:csb0="00040000" w:csb1="00000000"/>
  </w:font>
  <w:font w:name="微软雅黑">
    <w:panose1 w:val="020B0503020204020204"/>
    <w:charset w:val="86"/>
    <w:family w:val="auto"/>
    <w:pitch w:val="default"/>
    <w:sig w:usb0="80000287" w:usb1="2ACF3C50" w:usb2="00000016" w:usb3="00000000" w:csb0="0004001F" w:csb1="00000000"/>
  </w:font>
  <w:font w:name="方正仿宋_GBK">
    <w:altName w:val="微软雅黑"/>
    <w:panose1 w:val="03000509000000000000"/>
    <w:charset w:val="86"/>
    <w:family w:val="auto"/>
    <w:pitch w:val="default"/>
    <w:sig w:usb0="00000000" w:usb1="00000000" w:usb2="00000000" w:usb3="00000000" w:csb0="00040000" w:csb1="00000000"/>
  </w:font>
  <w:font w:name="方正黑体_GBK">
    <w:altName w:val="微软雅黑"/>
    <w:panose1 w:val="03000509000000000000"/>
    <w:charset w:val="86"/>
    <w:family w:val="auto"/>
    <w:pitch w:val="default"/>
    <w:sig w:usb0="00000000" w:usb1="00000000" w:usb2="00000000" w:usb3="00000000" w:csb0="00040000" w:csb1="00000000"/>
  </w:font>
  <w:font w:name="仿宋_GB2312">
    <w:altName w:val="仿宋"/>
    <w:panose1 w:val="02010609030101010101"/>
    <w:charset w:val="86"/>
    <w:family w:val="modern"/>
    <w:pitch w:val="default"/>
    <w:sig w:usb0="00000000" w:usb1="00000000" w:usb2="00000000" w:usb3="00000000" w:csb0="00040000" w:csb1="00000000"/>
  </w:font>
  <w:font w:name="文鼎大标宋简">
    <w:altName w:val="宋体"/>
    <w:panose1 w:val="00000000000000000000"/>
    <w:charset w:val="86"/>
    <w:family w:val="modern"/>
    <w:pitch w:val="default"/>
    <w:sig w:usb0="00000000" w:usb1="00000000" w:usb2="00000010" w:usb3="00000000" w:csb0="00040000" w:csb1="00000000"/>
  </w:font>
  <w:font w:name="华文仿宋">
    <w:panose1 w:val="02010600040101010101"/>
    <w:charset w:val="86"/>
    <w:family w:val="auto"/>
    <w:pitch w:val="default"/>
    <w:sig w:usb0="00000287" w:usb1="080F0000" w:usb2="00000000" w:usb3="00000000" w:csb0="0004009F" w:csb1="DFD70000"/>
  </w:font>
  <w:font w:name="楷体">
    <w:panose1 w:val="02010609060101010101"/>
    <w:charset w:val="86"/>
    <w:family w:val="auto"/>
    <w:pitch w:val="default"/>
    <w:sig w:usb0="800002BF" w:usb1="38CF7CFA" w:usb2="00000016" w:usb3="00000000" w:csb0="00040001" w:csb1="00000000"/>
  </w:font>
  <w:font w:name="仿宋">
    <w:panose1 w:val="02010609060101010101"/>
    <w:charset w:val="86"/>
    <w:family w:val="auto"/>
    <w:pitch w:val="default"/>
    <w:sig w:usb0="800002BF" w:usb1="38CF7CFA" w:usb2="00000016" w:usb3="00000000" w:csb0="00040001" w:csb1="00000000"/>
  </w:font>
  <w:font w:name="方正小标宋简体">
    <w:altName w:val="方正舒体"/>
    <w:panose1 w:val="02010601030101010101"/>
    <w:charset w:val="86"/>
    <w:family w:val="script"/>
    <w:pitch w:val="default"/>
    <w:sig w:usb0="00000000" w:usb1="00000000" w:usb2="00000000" w:usb3="00000000" w:csb0="00040000" w:csb1="00000000"/>
  </w:font>
  <w:font w:name="方正楷体_GBK">
    <w:altName w:val="微软雅黑"/>
    <w:panose1 w:val="02000000000000000000"/>
    <w:charset w:val="86"/>
    <w:family w:val="auto"/>
    <w:pitch w:val="default"/>
    <w:sig w:usb0="00000000" w:usb1="00000000" w:usb2="00000000" w:usb3="00000000" w:csb0="00040000" w:csb1="00000000"/>
  </w:font>
  <w:font w:name="方正舒体">
    <w:panose1 w:val="02010601030101010101"/>
    <w:charset w:val="86"/>
    <w:family w:val="auto"/>
    <w:pitch w:val="default"/>
    <w:sig w:usb0="00000003" w:usb1="080E0000" w:usb2="00000000" w:usb3="00000000" w:csb0="00040000"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8877CF5D"/>
    <w:multiLevelType w:val="singleLevel"/>
    <w:tmpl w:val="8877CF5D"/>
    <w:lvl w:ilvl="0" w:tentative="0">
      <w:start w:val="7"/>
      <w:numFmt w:val="chineseCounting"/>
      <w:suff w:val="nothing"/>
      <w:lvlText w:val="%1、"/>
      <w:lvlJc w:val="left"/>
      <w:rPr>
        <w:rFonts w:hint="eastAsia"/>
      </w:rPr>
    </w:lvl>
  </w:abstractNum>
  <w:abstractNum w:abstractNumId="1">
    <w:nsid w:val="D33F5E27"/>
    <w:multiLevelType w:val="singleLevel"/>
    <w:tmpl w:val="D33F5E27"/>
    <w:lvl w:ilvl="0" w:tentative="0">
      <w:start w:val="1"/>
      <w:numFmt w:val="chineseCounting"/>
      <w:suff w:val="nothing"/>
      <w:lvlText w:val="%1、"/>
      <w:lvlJc w:val="left"/>
      <w:rPr>
        <w:rFonts w:hint="eastAsia"/>
      </w:rPr>
    </w:lvl>
  </w:abstractNum>
  <w:abstractNum w:abstractNumId="2">
    <w:nsid w:val="D531D9DA"/>
    <w:multiLevelType w:val="singleLevel"/>
    <w:tmpl w:val="D531D9DA"/>
    <w:lvl w:ilvl="0" w:tentative="0">
      <w:start w:val="4"/>
      <w:numFmt w:val="chineseCounting"/>
      <w:suff w:val="nothing"/>
      <w:lvlText w:val="%1、"/>
      <w:lvlJc w:val="left"/>
      <w:rPr>
        <w:rFonts w:hint="eastAsia"/>
      </w:rPr>
    </w:lvl>
  </w:abstractNum>
  <w:abstractNum w:abstractNumId="3">
    <w:nsid w:val="3E632F48"/>
    <w:multiLevelType w:val="singleLevel"/>
    <w:tmpl w:val="3E632F48"/>
    <w:lvl w:ilvl="0" w:tentative="0">
      <w:start w:val="2"/>
      <w:numFmt w:val="chineseCounting"/>
      <w:suff w:val="nothing"/>
      <w:lvlText w:val="%1、"/>
      <w:lvlJc w:val="left"/>
      <w:rPr>
        <w:rFonts w:hint="eastAsia"/>
      </w:rPr>
    </w:lvl>
  </w:abstractNum>
  <w:abstractNum w:abstractNumId="4">
    <w:nsid w:val="510D2553"/>
    <w:multiLevelType w:val="singleLevel"/>
    <w:tmpl w:val="510D2553"/>
    <w:lvl w:ilvl="0" w:tentative="0">
      <w:start w:val="1"/>
      <w:numFmt w:val="decimal"/>
      <w:lvlText w:val="%1."/>
      <w:lvlJc w:val="left"/>
      <w:pPr>
        <w:tabs>
          <w:tab w:val="left" w:pos="312"/>
        </w:tabs>
      </w:pPr>
    </w:lvl>
  </w:abstractNum>
  <w:num w:numId="1">
    <w:abstractNumId w:val="0"/>
  </w:num>
  <w:num w:numId="2">
    <w:abstractNumId w:val="3"/>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DliOWM2MzNlZjk4NTNhNjlmZThmZjcxNGE1Y2Q0ZmIifQ=="/>
  </w:docVars>
  <w:rsids>
    <w:rsidRoot w:val="00000000"/>
    <w:rsid w:val="02E402C1"/>
    <w:rsid w:val="069E659D"/>
    <w:rsid w:val="0DAA6B7F"/>
    <w:rsid w:val="144F076D"/>
    <w:rsid w:val="1F3B48EE"/>
    <w:rsid w:val="21BB3835"/>
    <w:rsid w:val="28883B68"/>
    <w:rsid w:val="2BD74E44"/>
    <w:rsid w:val="2DA37249"/>
    <w:rsid w:val="467B6925"/>
    <w:rsid w:val="4EC1650C"/>
    <w:rsid w:val="56332A97"/>
    <w:rsid w:val="59D606BD"/>
    <w:rsid w:val="5C0A7979"/>
    <w:rsid w:val="5E387542"/>
    <w:rsid w:val="706B2B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99"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semiHidden/>
    <w:unhideWhenUsed/>
    <w:qFormat/>
    <w:uiPriority w:val="0"/>
    <w:pPr>
      <w:spacing w:before="0" w:beforeAutospacing="1" w:after="0" w:afterAutospacing="1"/>
      <w:jc w:val="left"/>
    </w:pPr>
    <w:rPr>
      <w:rFonts w:hint="eastAsia" w:ascii="宋体" w:hAnsi="宋体" w:eastAsia="宋体" w:cs="宋体"/>
      <w:b/>
      <w:bCs/>
      <w:kern w:val="0"/>
      <w:sz w:val="36"/>
      <w:szCs w:val="36"/>
      <w:lang w:val="en-US" w:eastAsia="zh-CN" w:bidi="ar"/>
    </w:rPr>
  </w:style>
  <w:style w:type="character" w:default="1" w:styleId="9">
    <w:name w:val="Default Paragraph Font"/>
    <w:semiHidden/>
    <w:qFormat/>
    <w:uiPriority w:val="0"/>
  </w:style>
  <w:style w:type="table" w:default="1" w:styleId="7">
    <w:name w:val="Normal Table"/>
    <w:semiHidden/>
    <w:qFormat/>
    <w:uiPriority w:val="0"/>
    <w:tblPr>
      <w:tblCellMar>
        <w:top w:w="0" w:type="dxa"/>
        <w:left w:w="108" w:type="dxa"/>
        <w:bottom w:w="0" w:type="dxa"/>
        <w:right w:w="108" w:type="dxa"/>
      </w:tblCellMar>
    </w:tblPr>
  </w:style>
  <w:style w:type="paragraph" w:styleId="2">
    <w:name w:val="Normal Indent"/>
    <w:basedOn w:val="1"/>
    <w:qFormat/>
    <w:uiPriority w:val="0"/>
    <w:pPr>
      <w:spacing w:line="360" w:lineRule="auto"/>
    </w:pPr>
    <w:rPr>
      <w:rFonts w:ascii="Calibri" w:hAnsi="Calibri"/>
      <w:szCs w:val="24"/>
    </w:rPr>
  </w:style>
  <w:style w:type="paragraph" w:styleId="4">
    <w:name w:val="Body Text"/>
    <w:basedOn w:val="1"/>
    <w:qFormat/>
    <w:uiPriority w:val="0"/>
  </w:style>
  <w:style w:type="paragraph" w:styleId="5">
    <w:name w:val="footer"/>
    <w:basedOn w:val="1"/>
    <w:uiPriority w:val="0"/>
    <w:pPr>
      <w:tabs>
        <w:tab w:val="center" w:pos="4153"/>
        <w:tab w:val="right" w:pos="8306"/>
      </w:tabs>
      <w:snapToGrid w:val="0"/>
      <w:jc w:val="left"/>
    </w:pPr>
    <w:rPr>
      <w:sz w:val="18"/>
      <w:szCs w:val="18"/>
    </w:rPr>
  </w:style>
  <w:style w:type="paragraph" w:styleId="6">
    <w:name w:val="Normal (Web)"/>
    <w:basedOn w:val="1"/>
    <w:qFormat/>
    <w:uiPriority w:val="0"/>
    <w:pPr>
      <w:spacing w:before="0" w:beforeAutospacing="1" w:after="0" w:afterAutospacing="1"/>
      <w:ind w:left="0" w:right="0"/>
      <w:jc w:val="left"/>
    </w:pPr>
    <w:rPr>
      <w:kern w:val="0"/>
      <w:sz w:val="24"/>
      <w:lang w:val="en-US" w:eastAsia="zh-CN" w:bidi="ar"/>
    </w:rPr>
  </w:style>
  <w:style w:type="table" w:styleId="8">
    <w:name w:val="Table Grid"/>
    <w:basedOn w:val="7"/>
    <w:uiPriority w:val="0"/>
    <w:pPr>
      <w:widowControl w:val="0"/>
      <w:jc w:val="both"/>
    </w:pPr>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10">
    <w:name w:val="FollowedHyperlink"/>
    <w:basedOn w:val="9"/>
    <w:qFormat/>
    <w:uiPriority w:val="0"/>
    <w:rPr>
      <w:color w:val="333333"/>
      <w:u w:val="none"/>
    </w:rPr>
  </w:style>
  <w:style w:type="character" w:styleId="11">
    <w:name w:val="Hyperlink"/>
    <w:basedOn w:val="9"/>
    <w:qFormat/>
    <w:uiPriority w:val="0"/>
    <w:rPr>
      <w:color w:val="333333"/>
      <w:u w:val="none"/>
    </w:rPr>
  </w:style>
  <w:style w:type="paragraph" w:styleId="12">
    <w:name w:val="List Paragraph"/>
    <w:basedOn w:val="1"/>
    <w:qFormat/>
    <w:uiPriority w:val="99"/>
    <w:pPr>
      <w:ind w:firstLine="420" w:firstLineChars="200"/>
    </w:p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numbering" Target="numbering.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3</Pages>
  <Words>1016</Words>
  <Characters>1119</Characters>
  <Lines>0</Lines>
  <Paragraphs>0</Paragraphs>
  <TotalTime>0</TotalTime>
  <ScaleCrop>false</ScaleCrop>
  <LinksUpToDate>false</LinksUpToDate>
  <CharactersWithSpaces>1154</CharactersWithSpaces>
  <Application>WPS Office_11.1.0.12132_F1E327BC-269C-435d-A152-05C5408002CA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2023-01-12T02:11:00Z</dcterms:created>
  <dc:creator>Administrator</dc:creator>
  <cp:lastModifiedBy>86185</cp:lastModifiedBy>
  <cp:lastPrinted>2023-01-28T03:32:00Z</cp:lastPrinted>
  <dcterms:modified xsi:type="dcterms:W3CDTF">2023-02-08T08:17:25Z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2052-11.1.0.12132</vt:lpwstr>
  </property>
  <property fmtid="{D5CDD505-2E9C-101B-9397-08002B2CF9AE}" pid="3" name="ICV">
    <vt:lpwstr>08151E91A5254D86BC8A0C45AED7BCC4</vt:lpwstr>
  </property>
</Properties>
</file>