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jc w:val="left"/>
        <w:rPr>
          <w:rFonts w:ascii="黑体" w:hAnsi="黑体" w:eastAsia="黑体" w:cs="黑体"/>
          <w:sz w:val="32"/>
          <w:szCs w:val="32"/>
        </w:rPr>
      </w:pPr>
      <w:r>
        <w:rPr>
          <w:rFonts w:hint="eastAsia" w:ascii="黑体" w:hAnsi="黑体" w:eastAsia="黑体" w:cs="黑体"/>
          <w:sz w:val="32"/>
          <w:szCs w:val="32"/>
        </w:rPr>
        <w:t>附件1</w:t>
      </w:r>
    </w:p>
    <w:tbl>
      <w:tblPr>
        <w:tblStyle w:val="3"/>
        <w:tblW w:w="10466" w:type="dxa"/>
        <w:jc w:val="center"/>
        <w:tblLayout w:type="fixed"/>
        <w:tblCellMar>
          <w:top w:w="0" w:type="dxa"/>
          <w:left w:w="0" w:type="dxa"/>
          <w:bottom w:w="0" w:type="dxa"/>
          <w:right w:w="0" w:type="dxa"/>
        </w:tblCellMar>
      </w:tblPr>
      <w:tblGrid>
        <w:gridCol w:w="672"/>
        <w:gridCol w:w="512"/>
        <w:gridCol w:w="1578"/>
        <w:gridCol w:w="4116"/>
        <w:gridCol w:w="2244"/>
        <w:gridCol w:w="672"/>
        <w:gridCol w:w="672"/>
      </w:tblGrid>
      <w:tr>
        <w:tblPrEx>
          <w:tblCellMar>
            <w:top w:w="0" w:type="dxa"/>
            <w:left w:w="0" w:type="dxa"/>
            <w:bottom w:w="0" w:type="dxa"/>
            <w:right w:w="0" w:type="dxa"/>
          </w:tblCellMar>
        </w:tblPrEx>
        <w:trPr>
          <w:trHeight w:val="765" w:hRule="atLeast"/>
          <w:jc w:val="center"/>
        </w:trPr>
        <w:tc>
          <w:tcPr>
            <w:tcW w:w="672" w:type="dxa"/>
            <w:tcBorders>
              <w:top w:val="nil"/>
              <w:left w:val="nil"/>
              <w:bottom w:val="nil"/>
              <w:right w:val="nil"/>
            </w:tcBorders>
          </w:tcPr>
          <w:p>
            <w:pPr>
              <w:widowControl/>
              <w:jc w:val="center"/>
              <w:textAlignment w:val="center"/>
              <w:rPr>
                <w:rFonts w:ascii="方正小标宋简体" w:hAnsi="方正小标宋简体" w:eastAsia="方正小标宋简体" w:cs="方正小标宋简体"/>
                <w:color w:val="000000"/>
                <w:kern w:val="0"/>
                <w:sz w:val="36"/>
                <w:szCs w:val="36"/>
              </w:rPr>
            </w:pPr>
          </w:p>
        </w:tc>
        <w:tc>
          <w:tcPr>
            <w:tcW w:w="9794" w:type="dxa"/>
            <w:gridSpan w:val="6"/>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44"/>
                <w:szCs w:val="44"/>
              </w:rPr>
              <w:t>省技术创新中心绩效评价指标体系</w:t>
            </w:r>
          </w:p>
        </w:tc>
      </w:tr>
      <w:tr>
        <w:tblPrEx>
          <w:tblCellMar>
            <w:top w:w="0" w:type="dxa"/>
            <w:left w:w="0" w:type="dxa"/>
            <w:bottom w:w="0" w:type="dxa"/>
            <w:right w:w="0" w:type="dxa"/>
          </w:tblCellMar>
        </w:tblPrEx>
        <w:trPr>
          <w:trHeight w:val="780" w:hRule="atLeast"/>
          <w:jc w:val="center"/>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一级指标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二级指标</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三级指标</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指标说明及计算公式</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分值</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rPr>
              <w:t>得分</w:t>
            </w:r>
          </w:p>
        </w:tc>
      </w:tr>
      <w:tr>
        <w:tblPrEx>
          <w:tblCellMar>
            <w:top w:w="0" w:type="dxa"/>
            <w:left w:w="0" w:type="dxa"/>
            <w:bottom w:w="0" w:type="dxa"/>
            <w:right w:w="0" w:type="dxa"/>
          </w:tblCellMar>
        </w:tblPrEx>
        <w:trPr>
          <w:trHeight w:val="735" w:hRule="atLeast"/>
          <w:jc w:val="center"/>
        </w:trPr>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管理5分</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现代化管理制度</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注册成立独立法人机构</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独立法人单位得2分，独立运行管理得1分，否则不得分</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实行理事会（董事会）制度、成立学术委员会（专家委员会）</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制度完善得2分，每缺一项扣1分</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技术创新中心管理制度和运行机制健全</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健全得1分，否则据实酌情扣分</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执行15分</w:t>
            </w:r>
          </w:p>
        </w:tc>
        <w:tc>
          <w:tcPr>
            <w:tcW w:w="157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工作开展情况</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总体计划任务目标完成情况</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全部完成得10分，否则酌情扣分</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jc w:val="center"/>
        </w:trPr>
        <w:tc>
          <w:tcPr>
            <w:tcW w:w="1184" w:type="dxa"/>
            <w:gridSpan w:val="2"/>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p>
        </w:tc>
        <w:tc>
          <w:tcPr>
            <w:tcW w:w="157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经费使用规范、合理性</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合理合规得5分，否则酌情扣分</w:t>
            </w:r>
          </w:p>
        </w:tc>
        <w:tc>
          <w:tcPr>
            <w:tcW w:w="672" w:type="dxa"/>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产出60分</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重大技术研发</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解决“卡脖子”技术难题，取得有自主产权，打破被国外垄断</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解决产业“卡脖子”技术难题得15分</w:t>
            </w:r>
          </w:p>
        </w:tc>
        <w:tc>
          <w:tcPr>
            <w:tcW w:w="67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p>
            <w:pPr>
              <w:widowControl/>
              <w:jc w:val="center"/>
              <w:textAlignment w:val="center"/>
              <w:rPr>
                <w:rFonts w:ascii="宋体" w:hAnsi="宋体" w:eastAsia="宋体" w:cs="宋体"/>
                <w:color w:val="000000"/>
                <w:sz w:val="24"/>
                <w:szCs w:val="24"/>
              </w:rPr>
            </w:pP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448"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突破整个或多个产业重大共性关键技术</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5分×数量</w:t>
            </w:r>
          </w:p>
        </w:tc>
        <w:tc>
          <w:tcPr>
            <w:tcW w:w="672" w:type="dxa"/>
            <w:vMerge w:val="continue"/>
            <w:tcBorders>
              <w:left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730"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开展前沿技术研究，突破该领域中具有前瞻性、先导性和探索性的重大技术</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5分×数量</w:t>
            </w:r>
          </w:p>
        </w:tc>
        <w:tc>
          <w:tcPr>
            <w:tcW w:w="67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285"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获得项目资助</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获得国家科技项目</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2分×数量</w:t>
            </w:r>
          </w:p>
        </w:tc>
        <w:tc>
          <w:tcPr>
            <w:tcW w:w="672"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获得省级科技项目</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1分×数量</w:t>
            </w:r>
          </w:p>
        </w:tc>
        <w:tc>
          <w:tcPr>
            <w:tcW w:w="672" w:type="dxa"/>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知识产权</w:t>
            </w:r>
            <w:r>
              <w:rPr>
                <w:rFonts w:hint="eastAsia" w:ascii="宋体" w:hAnsi="宋体" w:eastAsia="宋体" w:cs="宋体"/>
                <w:color w:val="000000"/>
                <w:kern w:val="0"/>
                <w:sz w:val="24"/>
                <w:szCs w:val="24"/>
              </w:rPr>
              <w:br w:type="textWrapping"/>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申请、获得PCT专利</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2分×数量</w:t>
            </w:r>
          </w:p>
        </w:tc>
        <w:tc>
          <w:tcPr>
            <w:tcW w:w="672" w:type="dxa"/>
            <w:vMerge w:val="restart"/>
            <w:tcBorders>
              <w:top w:val="single" w:color="auto"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申请、获得发明专利</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1分×获得数量+0.5分×申请数量</w:t>
            </w:r>
          </w:p>
        </w:tc>
        <w:tc>
          <w:tcPr>
            <w:tcW w:w="672" w:type="dxa"/>
            <w:vMerge w:val="continue"/>
            <w:tcBorders>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国家标准、行业标准</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（主持3分，参与1分）×数量</w:t>
            </w:r>
          </w:p>
        </w:tc>
        <w:tc>
          <w:tcPr>
            <w:tcW w:w="672" w:type="dxa"/>
            <w:vMerge w:val="continue"/>
            <w:tcBorders>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451"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一类新药证书 </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3分×数量</w:t>
            </w:r>
          </w:p>
        </w:tc>
        <w:tc>
          <w:tcPr>
            <w:tcW w:w="672" w:type="dxa"/>
            <w:vMerge w:val="continue"/>
            <w:tcBorders>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动植物新品种</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2分×数量</w:t>
            </w:r>
          </w:p>
        </w:tc>
        <w:tc>
          <w:tcPr>
            <w:tcW w:w="672" w:type="dxa"/>
            <w:vMerge w:val="continue"/>
            <w:tcBorders>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计算机软件著作权 </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0.2分×数量</w:t>
            </w:r>
          </w:p>
        </w:tc>
        <w:tc>
          <w:tcPr>
            <w:tcW w:w="672" w:type="dxa"/>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国家科技奖励</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最高奖/一等奖</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（第一位次10分，其他位次3分）×数量</w:t>
            </w:r>
          </w:p>
        </w:tc>
        <w:tc>
          <w:tcPr>
            <w:tcW w:w="672"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二等奖</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（第一位次5分，其他位次2分）×数量</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产出60分</w:t>
            </w:r>
          </w:p>
        </w:tc>
        <w:tc>
          <w:tcPr>
            <w:tcW w:w="1578"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省级科技奖励</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最高奖</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5分×数量</w:t>
            </w:r>
          </w:p>
        </w:tc>
        <w:tc>
          <w:tcPr>
            <w:tcW w:w="672"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一等奖</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（第一位次4分，其他位次2分）×数量</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二等奖</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（第一位次2分，其他位次1分）×数量</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960"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三等奖</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（第一位次1分，其他位次0.5分）×数量</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引进/培养人才</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院士</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5分×数量</w:t>
            </w:r>
          </w:p>
        </w:tc>
        <w:tc>
          <w:tcPr>
            <w:tcW w:w="672"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国家级人才</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3分×数量</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省级人才</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2分×数量</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科研人员数量</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1分×（数量/100）</w:t>
            </w:r>
          </w:p>
        </w:tc>
        <w:tc>
          <w:tcPr>
            <w:tcW w:w="67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kern w:val="0"/>
                <w:sz w:val="24"/>
                <w:szCs w:val="24"/>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任务完成质量</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验收或绩效评价等级</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优秀得5分，良好3分，一般2分，不合格0分</w:t>
            </w:r>
          </w:p>
        </w:tc>
        <w:tc>
          <w:tcPr>
            <w:tcW w:w="672" w:type="dxa"/>
            <w:tcBorders>
              <w:top w:val="single" w:color="auto"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效益15分</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技术服务</w:t>
            </w:r>
            <w:r>
              <w:rPr>
                <w:rFonts w:hint="eastAsia" w:ascii="宋体" w:hAnsi="宋体" w:eastAsia="宋体" w:cs="宋体"/>
                <w:color w:val="000000"/>
                <w:kern w:val="0"/>
                <w:sz w:val="24"/>
                <w:szCs w:val="24"/>
              </w:rPr>
              <w:br w:type="textWrapping"/>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技术服务收入</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1分×（收入/100万元）</w:t>
            </w:r>
          </w:p>
        </w:tc>
        <w:tc>
          <w:tcPr>
            <w:tcW w:w="672"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技术咨询收入</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1分×（收入/50万元）</w:t>
            </w:r>
          </w:p>
        </w:tc>
        <w:tc>
          <w:tcPr>
            <w:tcW w:w="672" w:type="dxa"/>
            <w:vMerge w:val="continue"/>
            <w:tcBorders>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服务中小微企业数量</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1分×（数量/50）</w:t>
            </w:r>
          </w:p>
        </w:tc>
        <w:tc>
          <w:tcPr>
            <w:tcW w:w="672"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成果转化</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成果转化收益</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1分×（收入/500万元）</w:t>
            </w:r>
          </w:p>
        </w:tc>
        <w:tc>
          <w:tcPr>
            <w:tcW w:w="672"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312"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成果转化数量</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1分×数量</w:t>
            </w:r>
          </w:p>
        </w:tc>
        <w:tc>
          <w:tcPr>
            <w:tcW w:w="672"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经济效益</w:t>
            </w: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新增销售收入</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1分×（新增收入/1亿元）</w:t>
            </w:r>
          </w:p>
        </w:tc>
        <w:tc>
          <w:tcPr>
            <w:tcW w:w="672"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67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新增税收</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1分×（新增税收/1000万元）</w:t>
            </w:r>
          </w:p>
        </w:tc>
        <w:tc>
          <w:tcPr>
            <w:tcW w:w="672" w:type="dxa"/>
            <w:vMerge w:val="continue"/>
            <w:tcBorders>
              <w:left w:val="single" w:color="000000" w:sz="4" w:space="0"/>
              <w:right w:val="single" w:color="000000" w:sz="4" w:space="0"/>
            </w:tcBorders>
          </w:tcPr>
          <w:p>
            <w:pPr>
              <w:rPr>
                <w:rFonts w:ascii="宋体" w:hAnsi="宋体" w:eastAsia="宋体" w:cs="宋体"/>
                <w:color w:val="000000"/>
                <w:sz w:val="24"/>
                <w:szCs w:val="24"/>
              </w:rPr>
            </w:pPr>
          </w:p>
        </w:tc>
        <w:tc>
          <w:tcPr>
            <w:tcW w:w="67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eastAsia="宋体" w:cs="宋体"/>
                <w:color w:val="000000"/>
                <w:sz w:val="24"/>
                <w:szCs w:val="24"/>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eastAsia="宋体" w:cs="宋体"/>
                <w:color w:val="000000"/>
                <w:sz w:val="24"/>
                <w:szCs w:val="24"/>
              </w:rPr>
            </w:pPr>
          </w:p>
        </w:tc>
        <w:tc>
          <w:tcPr>
            <w:tcW w:w="41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带动上下游企业增加产值</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1分×（新增产值/20亿元）</w:t>
            </w:r>
          </w:p>
        </w:tc>
        <w:tc>
          <w:tcPr>
            <w:tcW w:w="672" w:type="dxa"/>
            <w:vMerge w:val="continue"/>
            <w:tcBorders>
              <w:left w:val="single" w:color="000000" w:sz="4" w:space="0"/>
              <w:right w:val="single" w:color="000000" w:sz="4" w:space="0"/>
            </w:tcBorders>
          </w:tcPr>
          <w:p>
            <w:pPr>
              <w:rPr>
                <w:rFonts w:ascii="宋体" w:hAnsi="宋体" w:eastAsia="宋体" w:cs="宋体"/>
                <w:color w:val="000000"/>
                <w:sz w:val="24"/>
                <w:szCs w:val="24"/>
              </w:rPr>
            </w:pPr>
          </w:p>
        </w:tc>
        <w:tc>
          <w:tcPr>
            <w:tcW w:w="67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624" w:hRule="atLeast"/>
          <w:jc w:val="center"/>
        </w:trPr>
        <w:tc>
          <w:tcPr>
            <w:tcW w:w="10466"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宋体" w:hAnsi="宋体" w:eastAsia="宋体" w:cs="宋体"/>
                <w:color w:val="000000"/>
                <w:sz w:val="24"/>
                <w:szCs w:val="24"/>
              </w:rPr>
            </w:pPr>
            <w:r>
              <w:rPr>
                <w:rFonts w:hint="eastAsia" w:ascii="宋体" w:hAnsi="宋体" w:eastAsia="宋体" w:cs="宋体"/>
                <w:color w:val="000000"/>
                <w:kern w:val="0"/>
                <w:sz w:val="22"/>
              </w:rPr>
              <w:t>备注：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1、国家级重大项目指主持国家重点研发计划、国家自然基金委重大项目、国家科工委等国家级重大项目；省部级重大项目指财政支持额度300万以上项目。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2、国家级人才指QR计划、万人计划、长江学者、国家杰青、双百人才等；省级人才指泰山产业领军人才、泰山学者等。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3、省级科技奖励包含省级政府和国家部委奖励，国家行业协会奖励按省部级科技奖励统计。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4、经济效益中新增销售收入和新增税收统计范围包括中心依托单位和发起成立单位。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卡脖子”技术指没有自主产权，被国外垄断，受制于人的技术；重大共性关键技术指在多个行业或领域广泛应用，并对整个或多个产业形成瓶颈制约作用的技术；行业前沿技术指高技术领域中具有前瞻性、先导性和探索性的重大技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6、研发投入是指依托单位和主管部门对技术创新中心的科研投入。</w:t>
            </w:r>
          </w:p>
        </w:tc>
      </w:tr>
    </w:tbl>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9188B"/>
    <w:rsid w:val="0789188B"/>
    <w:rsid w:val="07E7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2020-12-08T08:05:00Z</dcterms:created>
  <dc:creator>CH</dc:creator>
  <cp:lastModifiedBy>CH</cp:lastModifiedBy>
  <dcterms:modified xsi:type="dcterms:W3CDTF">2020-12-08T08:06:30Z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