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/>
        </w:rPr>
      </w:pPr>
    </w:p>
    <w:p>
      <w:pPr>
        <w:spacing w:after="156" w:afterLines="5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省级开放式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HYPERLINK "https://www.most.gov.cn/xxgk/xinxifenlei/fdzdgknr/qtwj/qtwj2021/202110/W020211029600836375176.doc" \t "_blank"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方正小标宋简体"/>
          <w:color w:val="000000"/>
          <w:sz w:val="44"/>
          <w:szCs w:val="44"/>
        </w:rPr>
        <w:t>大学科技园绩效评价结果</w:t>
      </w:r>
      <w:r>
        <w:rPr>
          <w:rFonts w:ascii="Times New Roman" w:hAnsi="Times New Roman"/>
        </w:rPr>
        <w:fldChar w:fldCharType="end"/>
      </w:r>
    </w:p>
    <w:tbl>
      <w:tblPr>
        <w:tblStyle w:val="2"/>
        <w:tblW w:w="10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5695"/>
        <w:gridCol w:w="158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名  称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评价等级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青岛山东省大学科技园（开放式）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优秀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青岛市科技局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聊城山东省大学科技园（开放式）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聊城市科技局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济南山东省大学科技园（开放式）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济南市科技局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黄三角国家农高区山东省大学科技园（开放式）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东营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="100" w:beforeAutospacing="1" w:after="100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滨州山东省大学科技园（开放式）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滨州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潍坊山东省大学科技园（开放式）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潍坊市科技局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临沂山东省大学科技园（开放式）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临沂市科技局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beforeAutospacing="1" w:afterAutospacing="1"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日照山东省大学科技园（开放式）</w:t>
            </w:r>
          </w:p>
        </w:tc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合格</w:t>
            </w:r>
          </w:p>
        </w:tc>
        <w:tc>
          <w:tcPr>
            <w:tcW w:w="218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日照市科技局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9462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按照《山东省大学科技园管理办法》，绩效评价分为“优秀、合格、不合格”3个等级。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119273C"/>
    <w:rsid w:val="07767BC9"/>
    <w:rsid w:val="2119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2024-09-04T05:46:00Z</dcterms:created>
  <dc:creator>'Always</dc:creator>
  <cp:lastModifiedBy>'Always</cp:lastModifiedBy>
  <dcterms:modified xsi:type="dcterms:W3CDTF">2024-09-04T05:46:35Z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54B208C108CB48789893FDFCEB64B550_11</vt:lpwstr>
  </property>
</Properties>
</file>