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tbl>
      <w:tblPr>
        <w:tblStyle w:val="3"/>
        <w:tblW w:w="0" w:type="auto"/>
        <w:tblInd w:w="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955"/>
        <w:gridCol w:w="1377"/>
        <w:gridCol w:w="4751"/>
        <w:gridCol w:w="1307"/>
        <w:gridCol w:w="1085"/>
        <w:gridCol w:w="1664"/>
        <w:gridCol w:w="10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69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山东省省属科研院所创新绩效评价指标体系（成果转化类）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0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55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4751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1307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数值</w:t>
            </w:r>
            <w:r>
              <w:rPr>
                <w:rFonts w:ascii="黑体" w:hAnsi="黑体" w:eastAsia="黑体"/>
                <w:color w:val="000000"/>
                <w:kern w:val="0"/>
                <w:sz w:val="20"/>
              </w:rPr>
              <w:t>/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085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权重</w:t>
            </w:r>
          </w:p>
        </w:tc>
        <w:tc>
          <w:tcPr>
            <w:tcW w:w="1664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备注</w:t>
            </w:r>
          </w:p>
        </w:tc>
        <w:tc>
          <w:tcPr>
            <w:tcW w:w="1086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评价方法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职责定位与制度创新（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职责定位（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职责相符性（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科技创新活动与职责定位的相符性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需求一致性（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科技创新活动与国家、行业发展重大需求的一致性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科技创新活动与同领域国际科技创新发展趋势的符合性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制度创新（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章程管理（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是否具有科研院所章程，是否按照章程进行管理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法人治理（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是否实行法人治理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科研管理制度（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科技创新管理制度与激励机制的完善程度，主要考察目前的科研管理制度是否能够紧跟落实国家、省最新的有关政策法规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财务管理制度（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经费使用的合理性与合规性，主要考察目前的经费管理、使用是否能够紧跟落实国家、省有关的政策法规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创新基础（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基础设施（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科研资产（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科研用房面积（平方米）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bookmarkStart w:id="0" w:name="OLE_LINK3"/>
            <w:r>
              <w:rPr>
                <w:rFonts w:hint="eastAsia" w:eastAsia="仿宋_GB2312"/>
                <w:color w:val="000000"/>
                <w:sz w:val="20"/>
              </w:rPr>
              <w:t>定量</w:t>
            </w:r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科学仪器设备（原值）（万元）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创新平台（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</w:t>
            </w:r>
            <w:r>
              <w:rPr>
                <w:rFonts w:eastAsia="仿宋_GB2312"/>
                <w:color w:val="000000"/>
                <w:kern w:val="0"/>
                <w:sz w:val="20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重点</w:t>
            </w:r>
            <w:r>
              <w:rPr>
                <w:rFonts w:eastAsia="仿宋_GB2312"/>
                <w:color w:val="000000"/>
                <w:kern w:val="0"/>
                <w:sz w:val="20"/>
              </w:rPr>
              <w:t>)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实验室数量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国家工程研究中心数量、国家技术创新中心数量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省部级重点实验室数量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省部级技术创新中心、省部级工程研究中心数量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其他创新平台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科技人员（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人员（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人员占比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高层次人才（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技术转移人才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6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省级及以上人才数量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博士学历人才占比（</w:t>
            </w:r>
            <w:r>
              <w:rPr>
                <w:rFonts w:eastAsia="仿宋_GB2312"/>
                <w:color w:val="000000"/>
                <w:kern w:val="0"/>
                <w:sz w:val="20"/>
              </w:rPr>
              <w:t>%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创新团队（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省部级及以上创新团队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其他团队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人才团队作用发挥情况（</w:t>
            </w:r>
            <w:r>
              <w:rPr>
                <w:rFonts w:eastAsia="仿宋_GB2312"/>
                <w:color w:val="00000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人才团队推动产学研深度融合以及转化成果、孵化项目、创办企业情况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研发投入（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经费占比（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占经费支出总额比例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创新产出（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科技论文与著作（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/>
              </w:rPr>
              <w:t>科技论文（</w:t>
            </w:r>
            <w: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百人发表代表性论文数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6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需提供证明材料</w:t>
            </w: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代表性论文的研究质量、成果水平、原创价值、影响力等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科技著作（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百人出版代表性科技专著数量（一级出版社）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代表性科技专著的研究质量、成果水平、原创价值、影响力等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软件著作权（</w:t>
            </w:r>
            <w:r>
              <w:rPr>
                <w:rFonts w:eastAsia="仿宋_GB2312"/>
                <w:color w:val="00000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百人发表代表性软件著作权的数量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代表性软件著作权的质量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成果水平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原创价值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社会影响力等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科研项目来源（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主持省部级及以上科研项目数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16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需提供证明材料</w:t>
            </w: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主持企业委托项目数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主持其他科研项目数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科研项目经费（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人均科研项目经费数额（万元）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专利与标准（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专利授权（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百人授权发明专利数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</w:p>
        </w:tc>
        <w:tc>
          <w:tcPr>
            <w:tcW w:w="16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需提供证明材料</w:t>
            </w: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百人授权实用新型与外观设计专利数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技术标准（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形成国家标准数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形成行业标准数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形成地方或企业标准数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6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科技奖励（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科技奖励（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省部级及以上科学技术奖励数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相关行业部门科技奖励数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产学研合作（</w:t>
            </w:r>
            <w:r>
              <w:rPr>
                <w:rFonts w:eastAsia="仿宋_GB2312"/>
                <w:color w:val="00000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学术交流（</w:t>
            </w:r>
            <w:r>
              <w:rPr>
                <w:rFonts w:eastAsia="仿宋_GB2312"/>
                <w:color w:val="00000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举办或承办省级及以上学术会议数量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项目合作（</w:t>
            </w:r>
            <w:r>
              <w:rPr>
                <w:rFonts w:eastAsia="仿宋_GB2312"/>
                <w:color w:val="00000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产学研合作经费（万元）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人才培养（</w:t>
            </w:r>
            <w:r>
              <w:rPr>
                <w:rFonts w:eastAsia="仿宋_GB2312"/>
                <w:color w:val="00000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培养研究生数量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经济效益（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收入及转移转化收益（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技术性收入（技术服务、咨询、检测等）（万元）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创办成果转化类科技型企业（家）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0.2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创办成果转化企业获得纯利润（万元）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成果转化收入（万元）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成果转化平台建设（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37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成果转化平台建设（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加盟高水平新型研发机构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0.15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共建新型研发机构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内部建有创新单元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0.1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即</w:t>
            </w:r>
            <w:r>
              <w:rPr>
                <w:rFonts w:eastAsia="仿宋_GB2312"/>
                <w:color w:val="000000"/>
                <w:sz w:val="18"/>
                <w:szCs w:val="18"/>
              </w:rPr>
              <w:t>PI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制，一种新型科研组织管理模式，以项目主持人为核心的人力资源配置，以项目经费和成本核算为核心的财力资源配置，以科研资源共享为核心的物力资源配置的一种先进科研管理机制；</w:t>
            </w:r>
            <w:r>
              <w:rPr>
                <w:rFonts w:eastAsia="仿宋_GB2312"/>
                <w:color w:val="000000"/>
                <w:sz w:val="18"/>
                <w:szCs w:val="18"/>
              </w:rPr>
              <w:t>PI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制创新团队在人事管理、财务管理、科研项目管理上都拥有自主权</w:t>
            </w: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技术转移机构建设（技术转移办公室、技术转移中心等）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0.12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牵头建设省级创新创业共同体数量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0.23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经省政府认定</w:t>
            </w: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参与建设省级创新创业共同体数量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经省政府认定</w:t>
            </w: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47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牵头建设市级创新创业共同体数量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经当地市政府认定</w:t>
            </w:r>
          </w:p>
        </w:tc>
        <w:tc>
          <w:tcPr>
            <w:tcW w:w="10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</w:tbl>
    <w:p>
      <w:pPr>
        <w:spacing w:line="360" w:lineRule="auto"/>
      </w:pPr>
      <w:r>
        <w:rPr>
          <w:rFonts w:hint="eastAsia" w:eastAsia="仿宋_GB2312"/>
          <w:sz w:val="24"/>
        </w:rPr>
        <w:t>注：二级指标除基础设施、科技人员考核年度存量外，其他指标均考核年度增量。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6610C"/>
    <w:rsid w:val="0782788B"/>
    <w:rsid w:val="2DA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2020-11-25T12:32:00Z</dcterms:created>
  <dc:creator>明卓</dc:creator>
  <cp:lastModifiedBy>明卓</cp:lastModifiedBy>
  <dcterms:modified xsi:type="dcterms:W3CDTF">2020-11-25T12:33:02Z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