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ind w:firstLine="0" w:firstLineChars="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 xml:space="preserve">附件3 </w:t>
      </w:r>
    </w:p>
    <w:p>
      <w:pPr>
        <w:adjustRightInd/>
        <w:snapToGrid/>
        <w:spacing w:line="240" w:lineRule="auto"/>
        <w:ind w:firstLine="0" w:firstLineChars="0"/>
        <w:rPr>
          <w:rFonts w:ascii="Times New Roman" w:hAnsi="Times New Roman" w:eastAsia="等线"/>
          <w:sz w:val="21"/>
          <w:szCs w:val="22"/>
        </w:rPr>
      </w:pPr>
    </w:p>
    <w:p>
      <w:pPr>
        <w:adjustRightInd/>
        <w:snapToGrid/>
        <w:spacing w:line="240" w:lineRule="auto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山东省农业科技园绩效评价指标</w:t>
      </w:r>
    </w:p>
    <w:tbl>
      <w:tblPr>
        <w:tblStyle w:val="5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9"/>
        <w:gridCol w:w="2882"/>
        <w:gridCol w:w="898"/>
        <w:gridCol w:w="1039"/>
        <w:gridCol w:w="970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1036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bookmarkStart w:id="0" w:name="_Hlk101361385"/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882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性质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36" w:type="dxa"/>
            <w:vMerge w:val="restart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决策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管理</w:t>
            </w: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制度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建设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131"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4"/>
              </w:rPr>
              <w:t>—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主导产业定位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05" w:leftChars="-64"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4"/>
              </w:rPr>
              <w:t>—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建设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05" w:leftChars="-64"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—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制度与政策措施</w:t>
            </w: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规划布局及基础设施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05" w:leftChars="-64"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—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当地政府和主管部门支持政策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05" w:leftChars="-64"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—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培育企业</w:t>
            </w: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入驻企业总数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涉农科技企业数量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高新技术企业数量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过程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研发投入</w:t>
            </w: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R&amp;D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经费支出占GDP的比值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restart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产出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人才/平台</w:t>
            </w: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科技特派员数量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省级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及以上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人才数量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省级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及以上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平台数量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成果转移转化</w:t>
            </w: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科技成果推广应用数量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引进高水平科技成果数量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培育的新型研发机构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restart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效益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经济效益</w:t>
            </w: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园区总产值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亿元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实际上缴税额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亿元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主导产业产值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亿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元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组织培训</w:t>
            </w: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培训人次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人次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培训场次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场次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人均可支配收入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就业人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员数量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开展产学研合作企业或高校、科研院所数量</w:t>
            </w:r>
          </w:p>
        </w:tc>
        <w:tc>
          <w:tcPr>
            <w:tcW w:w="898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39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  <w:tc>
          <w:tcPr>
            <w:tcW w:w="970" w:type="dxa"/>
            <w:vAlign w:val="center"/>
          </w:tcPr>
          <w:p>
            <w:pPr>
              <w:adjustRightInd/>
              <w:snapToGrid/>
              <w:spacing w:line="240" w:lineRule="auto"/>
              <w:ind w:left="-2" w:leftChars="-2" w:hanging="4" w:hangingChars="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功效系数法</w:t>
            </w:r>
          </w:p>
        </w:tc>
      </w:tr>
    </w:tbl>
    <w:p>
      <w:pPr>
        <w:ind w:firstLine="0" w:firstLineChars="0"/>
        <w:rPr>
          <w:rFonts w:ascii="Times New Roman" w:hAnsi="Times New Roman"/>
        </w:rPr>
      </w:pPr>
    </w:p>
    <w:p>
      <w:pPr>
        <w:overflowPunct w:val="0"/>
        <w:spacing w:line="580" w:lineRule="exact"/>
        <w:ind w:firstLine="616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测算方法：</w:t>
      </w:r>
    </w:p>
    <w:p>
      <w:pPr>
        <w:overflowPunct w:val="0"/>
        <w:spacing w:line="580" w:lineRule="exact"/>
        <w:ind w:firstLine="618"/>
        <w:rPr>
          <w:rFonts w:ascii="Times New Roman" w:hAnsi="Times New Roman" w:eastAsia="仿宋"/>
        </w:rPr>
      </w:pPr>
      <w:r>
        <w:rPr>
          <w:rFonts w:ascii="Times New Roman" w:hAnsi="Times New Roman" w:eastAsia="仿宋"/>
          <w:b/>
        </w:rPr>
        <w:t>步骤1：</w:t>
      </w:r>
      <w:r>
        <w:rPr>
          <w:rFonts w:ascii="Times New Roman" w:hAnsi="Times New Roman" w:eastAsia="仿宋"/>
        </w:rPr>
        <w:t>功效系数法计算各指标得分</w:t>
      </w:r>
    </w:p>
    <w:p>
      <w:pPr>
        <w:overflowPunct w:val="0"/>
        <w:spacing w:after="217" w:afterLines="50" w:line="580" w:lineRule="exact"/>
        <w:ind w:firstLine="616"/>
        <w:jc w:val="lef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计算公式为：</w:t>
      </w:r>
    </w:p>
    <w:p>
      <w:pPr>
        <w:ind w:firstLine="536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position w:val="-30"/>
          <w:sz w:val="28"/>
          <w:szCs w:val="28"/>
        </w:rPr>
        <w:object>
          <v:shape id="_x0000_i1025" o:spt="75" type="#_x0000_t75" style="height:41.2pt;width:21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>
      <w:pPr>
        <w:overflowPunct w:val="0"/>
        <w:spacing w:after="217" w:afterLines="50" w:line="580" w:lineRule="exact"/>
        <w:ind w:firstLine="616"/>
        <w:jc w:val="lef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其中：</w:t>
      </w:r>
      <w:r>
        <w:rPr>
          <w:rFonts w:ascii="Times New Roman" w:hAnsi="Times New Roman" w:eastAsia="仿宋"/>
          <w:i/>
          <w:iCs/>
          <w:sz w:val="28"/>
          <w:szCs w:val="28"/>
        </w:rPr>
        <w:t>D</w:t>
      </w:r>
      <w:r>
        <w:rPr>
          <w:rFonts w:ascii="Times New Roman" w:hAnsi="Times New Roman" w:eastAsia="仿宋"/>
          <w:i/>
          <w:iCs/>
          <w:vertAlign w:val="subscript"/>
        </w:rPr>
        <w:t>i</w:t>
      </w:r>
      <w:r>
        <w:rPr>
          <w:rFonts w:ascii="Times New Roman" w:hAnsi="Times New Roman" w:eastAsia="仿宋"/>
        </w:rPr>
        <w:t>为该园区第i个指标得分，</w:t>
      </w:r>
      <w:r>
        <w:rPr>
          <w:rFonts w:ascii="Times New Roman" w:hAnsi="Times New Roman"/>
          <w:position w:val="-12"/>
        </w:rPr>
        <w:object>
          <v:shape id="_x0000_i1026" o:spt="75" type="#_x0000_t75" style="height:20.35pt;width:15.6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 w:eastAsia="仿宋"/>
        </w:rPr>
        <w:t>为该园区第i个指标值，</w:t>
      </w:r>
      <w:r>
        <w:rPr>
          <w:rFonts w:ascii="Times New Roman" w:hAnsi="Times New Roman"/>
          <w:position w:val="-12"/>
        </w:rPr>
        <w:object>
          <v:shape id="_x0000_i1027" o:spt="75" type="#_x0000_t75" style="height:20.35pt;width:20.3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 w:eastAsia="仿宋"/>
        </w:rPr>
        <w:t>为第i个指标该地市园区的最大值，</w:t>
      </w:r>
      <w:r>
        <w:rPr>
          <w:rFonts w:ascii="Times New Roman" w:hAnsi="Times New Roman"/>
          <w:position w:val="-12"/>
        </w:rPr>
        <w:object>
          <v:shape id="_x0000_i1028" o:spt="75" type="#_x0000_t75" style="height:20.35pt;width:20.3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ascii="Times New Roman" w:hAnsi="Times New Roman" w:eastAsia="仿宋"/>
        </w:rPr>
        <w:t>为第i个指标该地市园区的最小值。</w:t>
      </w:r>
      <w:r>
        <w:rPr>
          <w:rFonts w:ascii="Times New Roman" w:hAnsi="Times New Roman" w:eastAsia="仿宋"/>
          <w:i/>
          <w:iCs/>
          <w:sz w:val="28"/>
          <w:szCs w:val="28"/>
        </w:rPr>
        <w:t>W</w:t>
      </w:r>
      <w:r>
        <w:rPr>
          <w:rFonts w:ascii="Times New Roman" w:hAnsi="Times New Roman" w:eastAsia="仿宋"/>
          <w:i/>
          <w:iCs/>
          <w:vertAlign w:val="subscript"/>
        </w:rPr>
        <w:t>i</w:t>
      </w:r>
      <w:r>
        <w:rPr>
          <w:rFonts w:ascii="Times New Roman" w:hAnsi="Times New Roman" w:eastAsia="仿宋"/>
        </w:rPr>
        <w:t>为第i个指标权重值。</w:t>
      </w:r>
    </w:p>
    <w:p>
      <w:pPr>
        <w:ind w:firstLine="618"/>
        <w:rPr>
          <w:rFonts w:ascii="Times New Roman" w:hAnsi="Times New Roman"/>
        </w:rPr>
      </w:pPr>
      <w:r>
        <w:rPr>
          <w:rFonts w:ascii="Times New Roman" w:hAnsi="Times New Roman" w:eastAsia="仿宋"/>
          <w:b/>
        </w:rPr>
        <w:t>步骤2：</w:t>
      </w:r>
      <w:r>
        <w:rPr>
          <w:rFonts w:ascii="Times New Roman" w:hAnsi="Times New Roman" w:eastAsia="仿宋"/>
        </w:rPr>
        <w:t>将各定量指标的功效系数法得分加上各定性指标的专家打分，得到总分。</w:t>
      </w:r>
    </w:p>
    <w:p>
      <w:pPr>
        <w:adjustRightInd/>
        <w:snapToGrid/>
        <w:spacing w:line="580" w:lineRule="exact"/>
        <w:ind w:firstLine="0" w:firstLineChars="0"/>
        <w:rPr>
          <w:rFonts w:ascii="Times New Roman" w:hAnsi="Times New Roman"/>
          <w:sz w:val="36"/>
          <w:szCs w:val="36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C6350"/>
    <w:multiLevelType w:val="multilevel"/>
    <w:tmpl w:val="672C6350"/>
    <w:lvl w:ilvl="0" w:tentative="0">
      <w:start w:val="1"/>
      <w:numFmt w:val="decimal"/>
      <w:suff w:val="nothing"/>
      <w:lvlText w:val="[%1]"/>
      <w:lvlJc w:val="left"/>
      <w:pPr>
        <w:ind w:left="420" w:hanging="420"/>
      </w:pPr>
      <w:rPr>
        <w:rFonts w:hint="eastAsia" w:ascii="仿宋_GB2312" w:eastAsia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BFB1758"/>
    <w:rsid w:val="2BFB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customStyle="1" w:styleId="5">
    <w:name w:val="网格型1"/>
    <w:basedOn w:val="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2022-10-11T08:16:00Z</dcterms:created>
  <dc:creator>86185</dc:creator>
  <cp:lastModifiedBy>86185</cp:lastModifiedBy>
  <dcterms:modified xsi:type="dcterms:W3CDTF">2022-10-11T08:17:19Z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4402465E0B794F4EBCB1BBFBDBB7CE98</vt:lpwstr>
  </property>
</Properties>
</file>