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spacing w:line="580" w:lineRule="exact"/>
        <w:jc w:val="center"/>
        <w:rPr>
          <w:rFonts w:hint="eastAsia" w:ascii="方正小标宋简体" w:hAnsi="黑体" w:eastAsia="方正小标宋简体" w:cs="黑体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 w:cs="仿宋_GB2312"/>
          <w:kern w:val="0"/>
          <w:sz w:val="44"/>
          <w:szCs w:val="44"/>
          <w:shd w:val="clear" w:color="auto" w:fill="FFFFFF"/>
        </w:rPr>
        <w:t>国家专业化众创空间备案基本条件</w:t>
      </w:r>
    </w:p>
    <w:p>
      <w:pPr>
        <w:spacing w:line="580" w:lineRule="exact"/>
        <w:jc w:val="center"/>
        <w:rPr>
          <w:rFonts w:hint="eastAsia" w:ascii="方正小标宋简体" w:hAnsi="黑体" w:eastAsia="方正小标宋简体" w:cs="黑体"/>
          <w:kern w:val="0"/>
          <w:sz w:val="44"/>
          <w:szCs w:val="44"/>
          <w:shd w:val="clear" w:color="auto" w:fill="FFFFFF"/>
        </w:rPr>
      </w:pP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根据《专业化众创空间建设工作指引》规定，专业化众创空间应具备以下基本条件：</w:t>
      </w:r>
    </w:p>
    <w:p>
      <w:pPr>
        <w:pStyle w:val="2"/>
        <w:widowControl w:val="0"/>
        <w:spacing w:before="0" w:beforeAutospacing="0" w:after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1.依托具有较强产业和创新优势的行业骨干企业、高校、科研院所以及新型研发机构等主体建设。</w:t>
      </w:r>
    </w:p>
    <w:p>
      <w:pPr>
        <w:spacing w:line="580" w:lineRule="exact"/>
        <w:ind w:firstLine="320" w:firstLine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2.</w:t>
      </w:r>
      <w:r>
        <w:rPr>
          <w:rFonts w:hint="eastAsia" w:ascii="仿宋_GB2312" w:eastAsia="仿宋_GB2312"/>
          <w:sz w:val="32"/>
          <w:szCs w:val="32"/>
        </w:rPr>
        <w:t>以服务科技型创新创业为宗旨，能够紧密对接实体经济，聚焦明确的产业细分领域。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具备完善的专业化研究开发和产业化条件，能够提供低成本的开放式办公空间，具有专业化的研发设计、检验检测、模型加工、中试生产等研发、生产设备设施和厂房，并提供符合行业特征专业领域的技术、信息、资本、供应链、市场对接等个性化、定制化服务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4.具有开放式的互联网线上平台，集成或整合企业、科研院所、高校等的创新资源、产业资源以及外部的创新创业等线下资源，实现共享和有效利用。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具有活跃的创新和创业群体，拥有聚焦某一产业细分领域从事研发、生产的创业企业和创业团队共50个以上，2019年举办专业技术领域活动10场以上，初步形成良好的创新创业生态。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具有创新导师、创业导师服务能力。构建完善的创新创业辅导体系，建立不少于10人的创业导师队伍，为创业企业和团队提供技术创新辅导、创业辅导、创业培训。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具有创业投资基金或创新基金，或与天使投资、创投机构等合作设立股权投资基金，提供创业领域投融资服务，技术创新金融支持服务。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8.</w:t>
      </w:r>
      <w:r>
        <w:rPr>
          <w:rFonts w:hint="eastAsia" w:ascii="仿宋_GB2312" w:eastAsia="仿宋_GB2312"/>
          <w:sz w:val="32"/>
          <w:szCs w:val="32"/>
        </w:rPr>
        <w:t>专业化众创空间与建设主体之间具有良性互动机制，服务于建设主体转型升级和新业务开发、科技成果转化，并具备完善的运营管理制度,有清晰的可持续运营机制和管理模式。</w:t>
      </w:r>
    </w:p>
    <w:p>
      <w:pPr>
        <w:spacing w:line="580" w:lineRule="exac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</w:p>
    <w:p>
      <w:pPr>
        <w:spacing w:line="580" w:lineRule="exac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</w:p>
    <w:p>
      <w:pPr>
        <w:spacing w:line="580" w:lineRule="exac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</w:p>
    <w:p>
      <w:pPr>
        <w:spacing w:line="580" w:lineRule="exac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</w:p>
    <w:p>
      <w:pPr>
        <w:spacing w:line="580" w:lineRule="exac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</w:p>
    <w:p>
      <w:pPr>
        <w:spacing w:line="580" w:lineRule="exac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</w:p>
    <w:p>
      <w:pPr>
        <w:spacing w:line="580" w:lineRule="exac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B6863"/>
    <w:rsid w:val="40AB6863"/>
    <w:rsid w:val="519D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2020-07-15T07:58:00Z</dcterms:created>
  <dc:creator>CH</dc:creator>
  <cp:lastModifiedBy>CH</cp:lastModifiedBy>
  <dcterms:modified xsi:type="dcterms:W3CDTF">2020-07-15T07:58:46Z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