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 w:val="false"/>
        <w:jc w:val="center"/>
        <w:rPr>
          <w:rFonts w:ascii="方正小标宋简体" w:cs="方正小标宋简体" w:eastAsia="方正小标宋简体" w:hAnsi="方正小标宋简体"/>
          <w:sz w:val="44"/>
          <w:szCs w:val="44"/>
          <w:shd w:val="clear" w:color="auto" w:fill="ffffff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shd w:val="clear" w:color="auto" w:fill="ffffff"/>
        </w:rPr>
        <w:t>关于举办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第九届中国创新创业大赛（山东赛区）暨2020年山东省中小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微企业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创新竞技行动计划（新材料领域）现场晋级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shd w:val="clear" w:color="auto" w:fill="ffffff"/>
        </w:rPr>
        <w:t>活动的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shd w:val="clear" w:color="auto" w:fill="ffffff"/>
        </w:rPr>
        <w:t>实施方案</w:t>
      </w:r>
    </w:p>
    <w:p>
      <w:pPr>
        <w:pStyle w:val="style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第九届中国创新创业大赛（山东赛区）暨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2020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年山东省中小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微企业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创新竞技行动计划（以下简称“竞技行动”）新材料领域的现场晋级赛事，定于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9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-4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日在东营市举办。为做好活动的组织工作，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具体实施方案如下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。</w:t>
      </w:r>
    </w:p>
    <w:p>
      <w:pPr>
        <w:pStyle w:val="style0"/>
        <w:ind w:firstLine="640" w:firstLineChars="200"/>
        <w:rPr>
          <w:rFonts w:ascii="黑体" w:cs="黑体" w:eastAsia="黑体" w:hAnsi="黑体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sz w:val="32"/>
          <w:szCs w:val="32"/>
          <w:shd w:val="clear" w:color="auto" w:fill="ffffff"/>
        </w:rPr>
        <w:t>一、参加现场晋级范围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通过网上初选的新材料领域企业。</w:t>
      </w:r>
    </w:p>
    <w:p>
      <w:pPr>
        <w:pStyle w:val="style0"/>
        <w:ind w:firstLine="640" w:firstLineChars="200"/>
        <w:rPr>
          <w:rFonts w:ascii="黑体" w:cs="黑体" w:eastAsia="黑体" w:hAnsi="黑体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sz w:val="32"/>
          <w:szCs w:val="32"/>
          <w:shd w:val="clear" w:color="auto" w:fill="ffffff"/>
        </w:rPr>
        <w:t>二、活动地点及路线</w:t>
      </w:r>
    </w:p>
    <w:p>
      <w:pPr>
        <w:pStyle w:val="style0"/>
        <w:ind w:firstLine="643" w:firstLineChars="200"/>
        <w:rPr>
          <w:rFonts w:ascii="楷体_GB2312" w:cs="楷体_GB2312" w:eastAsia="楷体_GB2312" w:hAnsi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shd w:val="clear" w:color="auto" w:fill="ffffff"/>
        </w:rPr>
        <w:t>（一）会议地点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报到地点：东营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光谷未来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城（以下简称“光谷”）</w:t>
      </w:r>
      <w:r>
        <w:rPr>
          <w:rFonts w:ascii="Times New Roman" w:cs="微软雅黑" w:eastAsia="仿宋_GB2312" w:hAnsi="Times New Roman" w:hint="default"/>
          <w:sz w:val="32"/>
          <w:szCs w:val="32"/>
          <w:shd w:val="clear" w:color="auto" w:fill="ffffff"/>
          <w:lang w:val="en-US"/>
        </w:rPr>
        <w:t>行业技术中心F1幢一楼大厅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，位于东营经济技术开发区运河路与徐州路交叉口向南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50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米（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光谷布局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详见附件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）；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现场晋级地点：光谷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F1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幢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-2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楼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-203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室；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候场室：光谷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F1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幢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-2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楼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-202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室；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联系人：石玥然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联系电话：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13026542189</w:t>
      </w:r>
    </w:p>
    <w:p>
      <w:pPr>
        <w:pStyle w:val="style0"/>
        <w:ind w:firstLine="643" w:firstLineChars="200"/>
        <w:rPr>
          <w:rFonts w:ascii="楷体_GB2312" w:cs="楷体_GB2312" w:eastAsia="楷体_GB2312" w:hAnsi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shd w:val="clear" w:color="auto" w:fill="ffffff"/>
        </w:rPr>
        <w:t>（二）路线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自驾：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G18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荣乌高速东营站出口下高速，导航东营光谷未来城可到；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火车：到东营站下车乘坐出租车到东营光谷未来城。</w:t>
      </w:r>
    </w:p>
    <w:p>
      <w:pPr>
        <w:pStyle w:val="style0"/>
        <w:ind w:firstLine="640" w:firstLineChars="200"/>
        <w:rPr>
          <w:rFonts w:ascii="黑体" w:cs="黑体" w:eastAsia="黑体" w:hAnsi="黑体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sz w:val="32"/>
          <w:szCs w:val="32"/>
          <w:shd w:val="clear" w:color="auto" w:fill="ffffff"/>
        </w:rPr>
        <w:t>三、现场晋级时间安排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新材料领域：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2020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9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-9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日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具体时间安排见附件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。</w:t>
      </w:r>
    </w:p>
    <w:p>
      <w:pPr>
        <w:pStyle w:val="style0"/>
        <w:ind w:firstLine="640" w:firstLineChars="200"/>
        <w:rPr>
          <w:rFonts w:ascii="黑体" w:cs="黑体" w:eastAsia="黑体" w:hAnsi="黑体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sz w:val="32"/>
          <w:szCs w:val="32"/>
          <w:shd w:val="clear" w:color="auto" w:fill="ffffff"/>
        </w:rPr>
        <w:t>四、有关要求和注意事项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、每个参赛企业限报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名（含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名）以下参赛人员。参赛回执（样式详见附件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）请于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8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27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日前发送到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dychuangkexing@163.com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邮箱；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、为便于服务参赛企业，本赛区建立了微信群，请各企业参赛人员接到此通知后，尽早扫码入群（微信群二维码详见附件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）；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、参赛人员报到时提交路演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PPT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，并当场进行演示测试；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仿宋" w:cs="仿宋" w:eastAsia="仿宋" w:hAnsi="仿宋" w:hint="eastAsia"/>
          <w:bCs/>
          <w:sz w:val="32"/>
          <w:szCs w:val="32"/>
        </w:rPr>
        <w:t>赛事承办方已联系附近的蓝海智汇酒店、</w:t>
      </w:r>
      <w:r>
        <w:rPr>
          <w:rFonts w:ascii="仿宋" w:cs="仿宋" w:eastAsia="仿宋" w:hAnsi="仿宋" w:hint="eastAsia"/>
          <w:bCs/>
          <w:sz w:val="32"/>
          <w:szCs w:val="32"/>
        </w:rPr>
        <w:t>康铂酒店</w:t>
      </w:r>
      <w:r>
        <w:rPr>
          <w:rFonts w:ascii="仿宋" w:cs="仿宋" w:eastAsia="仿宋" w:hAnsi="仿宋" w:hint="eastAsia"/>
          <w:bCs/>
          <w:sz w:val="32"/>
          <w:szCs w:val="32"/>
        </w:rPr>
        <w:t>、</w:t>
      </w:r>
      <w:r>
        <w:rPr>
          <w:rFonts w:ascii="仿宋" w:cs="仿宋" w:eastAsia="仿宋" w:hAnsi="仿宋" w:hint="eastAsia"/>
          <w:bCs/>
          <w:sz w:val="32"/>
          <w:szCs w:val="32"/>
        </w:rPr>
        <w:t>京华酒店</w:t>
      </w:r>
      <w:r>
        <w:rPr>
          <w:rFonts w:ascii="仿宋" w:cs="仿宋" w:eastAsia="仿宋" w:hAnsi="仿宋" w:hint="eastAsia"/>
          <w:bCs/>
          <w:sz w:val="32"/>
          <w:szCs w:val="32"/>
        </w:rPr>
        <w:t>预留了有限数量的房间，参赛企业可联系酒店预定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；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5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、所有参赛企业食宿及交通费用自理。</w:t>
      </w:r>
    </w:p>
    <w:p>
      <w:pPr>
        <w:pStyle w:val="style0"/>
        <w:ind w:firstLine="640" w:firstLineChars="200"/>
        <w:rPr>
          <w:rFonts w:ascii="黑体" w:cs="黑体" w:eastAsia="黑体" w:hAnsi="黑体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sz w:val="32"/>
          <w:szCs w:val="32"/>
          <w:shd w:val="clear" w:color="auto" w:fill="ffffff"/>
        </w:rPr>
        <w:t>五、联系方式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1.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会务组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张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杰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 xml:space="preserve">13963356000   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石玥然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13026542189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2.</w:t>
      </w:r>
      <w:r>
        <w:rPr>
          <w:rFonts w:ascii="仿宋" w:cs="仿宋" w:eastAsia="仿宋" w:hAnsi="仿宋" w:hint="eastAsia"/>
          <w:bCs/>
          <w:sz w:val="32"/>
          <w:szCs w:val="32"/>
        </w:rPr>
        <w:t>酒店订房电话</w:t>
      </w:r>
    </w:p>
    <w:p>
      <w:pPr>
        <w:pStyle w:val="style0"/>
        <w:ind w:firstLine="640" w:firstLineChars="200"/>
        <w:jc w:val="left"/>
        <w:rPr>
          <w:rFonts w:ascii="仿宋" w:cs="仿宋" w:eastAsia="仿宋" w:hAnsi="仿宋"/>
          <w:bCs/>
          <w:sz w:val="32"/>
          <w:szCs w:val="32"/>
        </w:rPr>
      </w:pPr>
      <w:r>
        <w:rPr>
          <w:rFonts w:ascii="仿宋" w:cs="仿宋" w:eastAsia="仿宋" w:hAnsi="仿宋" w:hint="eastAsia"/>
          <w:bCs/>
          <w:sz w:val="32"/>
          <w:szCs w:val="32"/>
        </w:rPr>
        <w:t>东营智汇商务</w:t>
      </w:r>
      <w:r>
        <w:rPr>
          <w:rFonts w:ascii="仿宋" w:cs="仿宋" w:eastAsia="仿宋" w:hAnsi="仿宋" w:hint="eastAsia"/>
          <w:bCs/>
          <w:sz w:val="32"/>
          <w:szCs w:val="32"/>
        </w:rPr>
        <w:t>酒店    0546-8902588</w:t>
      </w:r>
    </w:p>
    <w:p>
      <w:pPr>
        <w:pStyle w:val="style0"/>
        <w:ind w:firstLine="640" w:firstLineChars="200"/>
        <w:jc w:val="left"/>
        <w:rPr>
          <w:rFonts w:ascii="仿宋" w:cs="仿宋" w:eastAsia="仿宋" w:hAnsi="仿宋"/>
          <w:bCs/>
          <w:sz w:val="32"/>
          <w:szCs w:val="32"/>
        </w:rPr>
      </w:pPr>
      <w:r>
        <w:rPr>
          <w:rFonts w:ascii="仿宋" w:cs="仿宋" w:eastAsia="仿宋" w:hAnsi="仿宋" w:hint="eastAsia"/>
          <w:bCs/>
          <w:sz w:val="32"/>
          <w:szCs w:val="32"/>
        </w:rPr>
        <w:t>康铂酒店</w:t>
      </w:r>
      <w:r>
        <w:rPr>
          <w:rFonts w:ascii="仿宋" w:cs="仿宋" w:eastAsia="仿宋" w:hAnsi="仿宋" w:hint="eastAsia"/>
          <w:bCs/>
          <w:sz w:val="32"/>
          <w:szCs w:val="32"/>
        </w:rPr>
        <w:t xml:space="preserve">   0546-6689999</w:t>
      </w:r>
    </w:p>
    <w:p>
      <w:pPr>
        <w:pStyle w:val="style0"/>
        <w:ind w:firstLine="640" w:firstLineChars="200"/>
        <w:jc w:val="left"/>
        <w:rPr>
          <w:rFonts w:ascii="仿宋" w:cs="仿宋" w:eastAsia="仿宋" w:hAnsi="仿宋"/>
          <w:bCs/>
          <w:sz w:val="32"/>
          <w:szCs w:val="32"/>
        </w:rPr>
      </w:pPr>
      <w:r>
        <w:rPr>
          <w:rFonts w:ascii="仿宋" w:cs="仿宋" w:eastAsia="仿宋" w:hAnsi="仿宋" w:hint="eastAsia"/>
          <w:bCs/>
          <w:sz w:val="32"/>
          <w:szCs w:val="32"/>
        </w:rPr>
        <w:t>京华酒店</w:t>
      </w:r>
      <w:r>
        <w:rPr>
          <w:rFonts w:ascii="仿宋" w:cs="仿宋" w:eastAsia="仿宋" w:hAnsi="仿宋" w:hint="eastAsia"/>
          <w:bCs/>
          <w:sz w:val="32"/>
          <w:szCs w:val="32"/>
        </w:rPr>
        <w:t xml:space="preserve">   0546-7752777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附件：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、竞技行动（新材料领域）现场晋级主要活动安排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、竞技行动（新材料领域）现场晋级参赛回执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、竞技行动（新材料领域）现场晋级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微信群二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维码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、东营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光谷未来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城平面图</w:t>
      </w: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 xml:space="preserve">                      </w:t>
      </w:r>
    </w:p>
    <w:p>
      <w:pPr>
        <w:pStyle w:val="style0"/>
        <w:ind w:right="989" w:rightChars="471" w:firstLine="640" w:firstLineChars="200"/>
        <w:jc w:val="right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2020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8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25</w:t>
      </w:r>
      <w:r>
        <w:rPr>
          <w:rFonts w:ascii="Times New Roman" w:cs="微软雅黑" w:eastAsia="仿宋_GB2312" w:hAnsi="Times New Roman" w:hint="eastAsia"/>
          <w:sz w:val="32"/>
          <w:szCs w:val="32"/>
          <w:shd w:val="clear" w:color="auto" w:fill="ffffff"/>
        </w:rPr>
        <w:t>日</w:t>
      </w:r>
    </w:p>
    <w:p>
      <w:pPr>
        <w:pStyle w:val="style0"/>
        <w:ind w:firstLine="640" w:firstLineChars="200"/>
        <w:jc w:val="right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jc w:val="right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jc w:val="right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ind w:firstLine="640" w:firstLineChars="200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</w:pPr>
    </w:p>
    <w:p>
      <w:pPr>
        <w:pStyle w:val="style0"/>
        <w:adjustRightInd w:val="false"/>
        <w:snapToGrid w:val="false"/>
        <w:spacing w:lineRule="exact" w:line="600"/>
        <w:rPr>
          <w:rFonts w:ascii="黑体" w:cs="黑体" w:eastAsia="黑体" w:hAnsi="黑体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附件1</w:t>
      </w:r>
    </w:p>
    <w:p>
      <w:pPr>
        <w:pStyle w:val="style0"/>
        <w:adjustRightInd w:val="false"/>
        <w:snapToGrid w:val="false"/>
        <w:spacing w:lineRule="exact" w:line="600"/>
        <w:rPr>
          <w:rFonts w:ascii="黑体" w:cs="黑体" w:eastAsia="黑体" w:hAnsi="黑体"/>
          <w:sz w:val="28"/>
          <w:szCs w:val="28"/>
        </w:rPr>
      </w:pPr>
    </w:p>
    <w:p>
      <w:pPr>
        <w:pStyle w:val="style0"/>
        <w:adjustRightInd w:val="false"/>
        <w:snapToGrid w:val="false"/>
        <w:spacing w:lineRule="exact" w:line="600"/>
        <w:jc w:val="center"/>
        <w:rPr>
          <w:rFonts w:ascii="仿宋" w:cs="黑体" w:eastAsia="方正小标宋简体" w:hAnsi="仿宋"/>
          <w:sz w:val="28"/>
          <w:szCs w:val="28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竞技行动（新材料领域）现场晋级主要活动安排</w:t>
      </w:r>
    </w:p>
    <w:tbl>
      <w:tblPr>
        <w:tblpPr w:leftFromText="180" w:rightFromText="180" w:topFromText="0" w:bottomFromText="0" w:vertAnchor="text" w:horzAnchor="page" w:tblpX="1657" w:tblpY="270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860"/>
        <w:gridCol w:w="1862"/>
        <w:gridCol w:w="2566"/>
        <w:gridCol w:w="1872"/>
      </w:tblGrid>
      <w:tr>
        <w:trPr>
          <w:trHeight w:val="675" w:hRule="atLeast"/>
        </w:trPr>
        <w:tc>
          <w:tcPr>
            <w:tcW w:w="33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内容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地点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备注</w:t>
            </w:r>
          </w:p>
        </w:tc>
      </w:tr>
      <w:tr>
        <w:tblPrEx/>
        <w:trPr>
          <w:trHeight w:val="675" w:hRule="atLeast"/>
        </w:trPr>
        <w:tc>
          <w:tcPr>
            <w:tcW w:w="149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8月31日</w:t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10:00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网上抽签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微信群小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程序抽签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style0"/>
              <w:rPr>
                <w:rFonts w:ascii="仿宋" w:cs="仿宋_GB2312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876" w:hRule="atLeast"/>
        </w:trPr>
        <w:tc>
          <w:tcPr>
            <w:tcW w:w="14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9月2日</w:t>
            </w:r>
          </w:p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（星期二）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全天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9月3日参赛企业报</w:t>
            </w:r>
            <w:r>
              <w:rPr>
                <w:rFonts w:ascii="仿宋" w:cs="仿宋_GB2312" w:eastAsia="仿宋" w:hAnsi="仿宋" w:hint="default"/>
                <w:sz w:val="28"/>
                <w:szCs w:val="28"/>
                <w:lang w:val="en-US"/>
              </w:rPr>
              <w:t>到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技术中心F1幢一楼大厅</w:t>
            </w:r>
          </w:p>
        </w:tc>
        <w:tc>
          <w:tcPr>
            <w:tcW w:w="1872" w:type="dxa"/>
            <w:vMerge w:val="restart"/>
            <w:tcBorders/>
            <w:vAlign w:val="center"/>
          </w:tcPr>
          <w:p>
            <w:pPr>
              <w:pStyle w:val="style0"/>
              <w:rPr>
                <w:rFonts w:ascii="仿宋" w:cs="宋体" w:eastAsia="仿宋" w:hAnsi="仿宋"/>
                <w:sz w:val="22"/>
                <w:szCs w:val="22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1、初创组、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成长组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参赛选手按照9月2日网上抽签确定的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路演出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场顺序，在同一场地依次路演。</w:t>
            </w:r>
          </w:p>
          <w:p>
            <w:pPr>
              <w:pStyle w:val="style0"/>
              <w:rPr>
                <w:rFonts w:ascii="仿宋" w:cs="宋体" w:eastAsia="仿宋" w:hAnsi="仿宋"/>
                <w:sz w:val="22"/>
                <w:szCs w:val="22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2、企业按“8分钟路演+7分钟答辩+当场亮分”的方式进行现场竞技。</w:t>
            </w:r>
          </w:p>
          <w:p>
            <w:pPr>
              <w:pStyle w:val="style0"/>
              <w:rPr>
                <w:rFonts w:ascii="仿宋" w:cs="宋体" w:eastAsia="仿宋" w:hAnsi="仿宋"/>
                <w:sz w:val="22"/>
                <w:szCs w:val="22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3、设1个专家评委组。在省厅专家库中随机抽取4名技术专家、3名创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投专家</w:t>
            </w:r>
            <w:r>
              <w:rPr>
                <w:rFonts w:ascii="仿宋" w:cs="宋体" w:eastAsia="仿宋" w:hAnsi="仿宋" w:hint="eastAsia"/>
                <w:sz w:val="22"/>
                <w:szCs w:val="22"/>
              </w:rPr>
              <w:t>组成专家评委组。</w:t>
            </w:r>
          </w:p>
          <w:p>
            <w:pPr>
              <w:pStyle w:val="style0"/>
              <w:rPr>
                <w:rFonts w:ascii="仿宋" w:cs="宋体" w:eastAsia="仿宋" w:hAnsi="仿宋"/>
                <w:sz w:val="22"/>
                <w:szCs w:val="22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4、赛场之外另设候场室，配备直播设备，用于候场企业观看路演进程。</w:t>
            </w:r>
          </w:p>
          <w:p>
            <w:pPr>
              <w:pStyle w:val="style0"/>
              <w:rPr>
                <w:rFonts w:ascii="仿宋" w:cs="宋体" w:eastAsia="仿宋" w:hAnsi="仿宋"/>
                <w:sz w:val="22"/>
                <w:szCs w:val="22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5、现场晋级活动全程录像。</w:t>
            </w:r>
          </w:p>
          <w:p>
            <w:pPr>
              <w:pStyle w:val="style0"/>
              <w:rPr>
                <w:rFonts w:ascii="仿宋" w:cs="宋体" w:eastAsia="仿宋" w:hAnsi="仿宋"/>
                <w:sz w:val="22"/>
                <w:szCs w:val="22"/>
              </w:rPr>
            </w:pPr>
            <w:r>
              <w:rPr>
                <w:rFonts w:ascii="仿宋" w:cs="宋体" w:eastAsia="仿宋" w:hAnsi="仿宋" w:hint="eastAsia"/>
                <w:sz w:val="22"/>
                <w:szCs w:val="22"/>
              </w:rPr>
              <w:t>6、参赛选手食宿自理.</w:t>
            </w:r>
          </w:p>
        </w:tc>
      </w:tr>
      <w:tr>
        <w:tblPrEx/>
        <w:trPr>
          <w:trHeight w:val="722" w:hRule="atLeast"/>
        </w:trPr>
        <w:tc>
          <w:tcPr>
            <w:tcW w:w="148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9月3日</w:t>
            </w:r>
          </w:p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（星期三）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8:00-8:30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会场签到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技术中心F1幢一楼大厅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758" w:hRule="atLeast"/>
        </w:trPr>
        <w:tc>
          <w:tcPr>
            <w:tcW w:w="148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8:30-9:00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启动仪式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光谷研发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办公</w:t>
            </w:r>
          </w:p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独栋E25幢一楼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803" w:hRule="atLeast"/>
        </w:trPr>
        <w:tc>
          <w:tcPr>
            <w:tcW w:w="148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9:00-12:00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正式比赛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技术中心F1幢203室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837" w:hRule="atLeast"/>
        </w:trPr>
        <w:tc>
          <w:tcPr>
            <w:tcW w:w="148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12:00-14:00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午餐、休息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-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707" w:hRule="atLeast"/>
        </w:trPr>
        <w:tc>
          <w:tcPr>
            <w:tcW w:w="148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14:00-18:00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正式比赛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技术中心F1幢203室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707" w:hRule="atLeast"/>
        </w:trPr>
        <w:tc>
          <w:tcPr>
            <w:tcW w:w="14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9月3日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（星期三）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 w:hint="eastAsia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全天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 w:hint="eastAsia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9月4日参赛企业报</w:t>
            </w:r>
            <w:r>
              <w:rPr>
                <w:rFonts w:ascii="仿宋" w:cs="仿宋_GB2312" w:eastAsia="仿宋" w:hAnsi="仿宋" w:hint="default"/>
                <w:sz w:val="28"/>
                <w:szCs w:val="28"/>
                <w:lang w:val="en-US"/>
              </w:rPr>
              <w:t>到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 w:hint="eastAsia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技术中心F1幢一楼大厅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791" w:hRule="atLeast"/>
        </w:trPr>
        <w:tc>
          <w:tcPr>
            <w:tcW w:w="148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9月4日</w:t>
            </w:r>
          </w:p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（星期四）</w:t>
            </w: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8:30-12:00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正式比赛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技术中心F1幢203室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698" w:hRule="atLeast"/>
        </w:trPr>
        <w:tc>
          <w:tcPr>
            <w:tcW w:w="148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12:00-14:00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午餐、休息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-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720" w:hRule="atLeast"/>
        </w:trPr>
        <w:tc>
          <w:tcPr>
            <w:tcW w:w="1489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14:00-18:00</w:t>
            </w:r>
          </w:p>
        </w:tc>
        <w:tc>
          <w:tcPr>
            <w:tcW w:w="1862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正式比赛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_GB2312" w:eastAsia="仿宋" w:hAnsi="仿宋"/>
                <w:sz w:val="28"/>
                <w:szCs w:val="28"/>
              </w:rPr>
            </w:pPr>
            <w:r>
              <w:rPr>
                <w:rFonts w:ascii="仿宋" w:cs="仿宋_GB2312" w:eastAsia="仿宋" w:hAnsi="仿宋" w:hint="eastAsia"/>
                <w:sz w:val="28"/>
                <w:szCs w:val="28"/>
              </w:rPr>
              <w:t>光谷行业</w:t>
            </w:r>
            <w:r>
              <w:rPr>
                <w:rFonts w:ascii="仿宋" w:cs="仿宋_GB2312" w:eastAsia="仿宋" w:hAnsi="仿宋" w:hint="eastAsia"/>
                <w:sz w:val="28"/>
                <w:szCs w:val="28"/>
              </w:rPr>
              <w:t>技术中心F1幢203室</w:t>
            </w: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8"/>
                <w:szCs w:val="28"/>
              </w:rPr>
            </w:pPr>
          </w:p>
        </w:tc>
      </w:tr>
    </w:tbl>
    <w:p>
      <w:pPr>
        <w:pStyle w:val="style0"/>
        <w:adjustRightInd w:val="false"/>
        <w:snapToGrid w:val="false"/>
        <w:spacing w:lineRule="exact" w:line="440"/>
        <w:rPr>
          <w:rFonts w:ascii="仿宋" w:cs="黑体" w:eastAsia="仿宋" w:hAnsi="仿宋"/>
          <w:sz w:val="28"/>
          <w:szCs w:val="28"/>
        </w:rPr>
      </w:pPr>
      <w:r>
        <w:rPr>
          <w:rFonts w:ascii="仿宋" w:cs="黑体" w:eastAsia="仿宋" w:hAnsi="仿宋" w:hint="eastAsia"/>
          <w:sz w:val="24"/>
        </w:rPr>
        <w:t>说明：本表中“光谷”专指东营光谷未来城，位于东营经济技术开发区东五路与南一路交汇处。</w:t>
      </w:r>
      <w:bookmarkStart w:id="0" w:name="_GoBack"/>
      <w:bookmarkEnd w:id="0"/>
    </w:p>
    <w:p>
      <w:pPr>
        <w:pStyle w:val="style0"/>
        <w:jc w:val="right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  <w:sectPr>
          <w:footerReference w:type="default" r:id="rId2"/>
          <w:pgSz w:w="11850" w:h="16783" w:orient="portrait"/>
          <w:pgMar w:top="1531" w:right="1383" w:bottom="1531" w:left="1383" w:header="851" w:footer="992" w:gutter="0"/>
          <w:cols w:space="0"/>
          <w:docGrid w:type="lines" w:linePitch="319"/>
        </w:sectPr>
      </w:pPr>
    </w:p>
    <w:p>
      <w:pPr>
        <w:pStyle w:val="style0"/>
        <w:adjustRightInd w:val="false"/>
        <w:snapToGrid w:val="false"/>
        <w:spacing w:lineRule="exact" w:line="600"/>
        <w:rPr>
          <w:rFonts w:ascii="黑体" w:cs="黑体" w:eastAsia="黑体" w:hAnsi="黑体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附件2</w:t>
      </w:r>
    </w:p>
    <w:p>
      <w:pPr>
        <w:pStyle w:val="style0"/>
        <w:adjustRightInd w:val="false"/>
        <w:snapToGrid w:val="false"/>
        <w:spacing w:lineRule="exact" w:line="560"/>
        <w:jc w:val="left"/>
        <w:contextualSpacing/>
        <w:rPr>
          <w:rFonts w:ascii="方正小标宋简体" w:eastAsia="方正小标宋简体" w:hAnsi="华文中宋"/>
          <w:sz w:val="32"/>
          <w:szCs w:val="36"/>
        </w:rPr>
      </w:pPr>
    </w:p>
    <w:p>
      <w:pPr>
        <w:pStyle w:val="style0"/>
        <w:adjustRightInd w:val="false"/>
        <w:snapToGrid w:val="false"/>
        <w:spacing w:lineRule="exact" w:line="560"/>
        <w:jc w:val="center"/>
        <w:contextualSpacing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第九届中国创新创业大赛（山东赛区）暨2020年山东省中小</w:t>
      </w:r>
      <w:r>
        <w:rPr>
          <w:rFonts w:ascii="方正小标宋简体" w:eastAsia="方正小标宋简体" w:hAnsi="华文中宋" w:hint="eastAsia"/>
          <w:sz w:val="36"/>
          <w:szCs w:val="36"/>
        </w:rPr>
        <w:t>微企业</w:t>
      </w:r>
      <w:r>
        <w:rPr>
          <w:rFonts w:ascii="方正小标宋简体" w:eastAsia="方正小标宋简体" w:hAnsi="华文中宋" w:hint="eastAsia"/>
          <w:sz w:val="36"/>
          <w:szCs w:val="36"/>
        </w:rPr>
        <w:t>创新竞技行动计划</w:t>
      </w:r>
    </w:p>
    <w:p>
      <w:pPr>
        <w:pStyle w:val="style0"/>
        <w:adjustRightInd w:val="false"/>
        <w:snapToGrid w:val="false"/>
        <w:spacing w:lineRule="exact" w:line="560"/>
        <w:jc w:val="center"/>
        <w:contextualSpacing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新材料领域现场晋级活动参赛回执</w:t>
      </w:r>
    </w:p>
    <w:p>
      <w:pPr>
        <w:pStyle w:val="style0"/>
        <w:adjustRightInd w:val="false"/>
        <w:snapToGrid w:val="false"/>
        <w:spacing w:lineRule="exact" w:line="560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904"/>
        <w:gridCol w:w="1956"/>
        <w:gridCol w:w="1968"/>
        <w:gridCol w:w="2304"/>
        <w:gridCol w:w="2988"/>
      </w:tblGrid>
      <w:tr>
        <w:trPr/>
        <w:tc>
          <w:tcPr>
            <w:tcW w:w="1929" w:type="dxa"/>
            <w:vMerge w:val="restar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企业全称</w:t>
            </w:r>
          </w:p>
        </w:tc>
        <w:tc>
          <w:tcPr>
            <w:tcW w:w="2904" w:type="dxa"/>
            <w:vMerge w:val="restar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参赛项目名称</w:t>
            </w:r>
          </w:p>
        </w:tc>
        <w:tc>
          <w:tcPr>
            <w:tcW w:w="1956" w:type="dxa"/>
            <w:vMerge w:val="restar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所属市</w:t>
            </w:r>
          </w:p>
        </w:tc>
        <w:tc>
          <w:tcPr>
            <w:tcW w:w="7260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参赛人员</w:t>
            </w:r>
          </w:p>
        </w:tc>
      </w:tr>
      <w:tr>
        <w:tblPrEx/>
        <w:trPr/>
        <w:tc>
          <w:tcPr>
            <w:tcW w:w="1929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4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988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>
        <w:tblPrEx/>
        <w:trPr/>
        <w:tc>
          <w:tcPr>
            <w:tcW w:w="1929" w:type="dxa"/>
            <w:vMerge w:val="restart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restart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restart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ind w:firstLine="320" w:firstLineChars="10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/>
        <w:trPr/>
        <w:tc>
          <w:tcPr>
            <w:tcW w:w="1929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88" w:type="dxa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style0"/>
        <w:adjustRightInd w:val="false"/>
        <w:snapToGrid w:val="false"/>
        <w:spacing w:lineRule="exact" w:line="560"/>
        <w:contextualSpacing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640" w:firstLineChars="200"/>
        <w:jc w:val="right"/>
        <w:rPr>
          <w:rFonts w:ascii="Times New Roman" w:cs="微软雅黑" w:eastAsia="仿宋_GB2312" w:hAnsi="Times New Roman"/>
          <w:sz w:val="32"/>
          <w:szCs w:val="32"/>
          <w:shd w:val="clear" w:color="auto" w:fill="ffffff"/>
        </w:rPr>
        <w:sectPr>
          <w:pgSz w:w="16783" w:h="11850" w:orient="landscape"/>
          <w:pgMar w:top="1440" w:right="1531" w:bottom="1440" w:left="1531" w:header="851" w:footer="992" w:gutter="0"/>
          <w:cols w:space="0"/>
          <w:docGrid w:type="lines" w:linePitch="319"/>
        </w:sectPr>
      </w:pPr>
    </w:p>
    <w:p>
      <w:pPr>
        <w:pStyle w:val="style0"/>
        <w:adjustRightInd w:val="false"/>
        <w:snapToGrid w:val="false"/>
        <w:rPr>
          <w:rFonts w:ascii="黑体" w:cs="黑体" w:eastAsia="黑体" w:hAnsi="黑体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附件3</w:t>
      </w:r>
    </w:p>
    <w:p>
      <w:pPr>
        <w:pStyle w:val="style0"/>
        <w:adjustRightInd w:val="false"/>
        <w:snapToGrid w:val="false"/>
        <w:rPr>
          <w:rFonts w:ascii="黑体" w:cs="黑体" w:eastAsia="黑体" w:hAnsi="黑体"/>
          <w:sz w:val="28"/>
          <w:szCs w:val="28"/>
        </w:rPr>
      </w:pPr>
    </w:p>
    <w:p>
      <w:pPr>
        <w:pStyle w:val="style0"/>
        <w:adjustRightInd w:val="false"/>
        <w:snapToGrid w:val="false"/>
        <w:jc w:val="center"/>
        <w:rPr>
          <w:rFonts w:ascii="黑体" w:cs="黑体" w:eastAsia="黑体" w:hAnsi="黑体"/>
          <w:sz w:val="28"/>
          <w:szCs w:val="28"/>
        </w:rPr>
      </w:pPr>
      <w:r>
        <w:rPr>
          <w:rFonts w:ascii="黑体" w:cs="黑体" w:eastAsia="黑体" w:hAnsi="黑体" w:hint="eastAsia"/>
          <w:noProof/>
          <w:sz w:val="28"/>
          <w:szCs w:val="28"/>
        </w:rPr>
        <w:drawing>
          <wp:inline distL="0" distT="0" distB="0" distR="0">
            <wp:extent cx="3562350" cy="4650740"/>
            <wp:effectExtent l="0" t="0" r="3810" b="12700"/>
            <wp:docPr id="1026" name="图片 3" descr="d78e911e730232eb8b036dcbeea8e8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62350" cy="4650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adjustRightInd w:val="false"/>
        <w:snapToGrid w:val="false"/>
        <w:rPr>
          <w:rFonts w:ascii="黑体" w:cs="黑体" w:eastAsia="黑体" w:hAnsi="黑体"/>
          <w:sz w:val="28"/>
          <w:szCs w:val="28"/>
        </w:rPr>
      </w:pPr>
    </w:p>
    <w:p>
      <w:pPr>
        <w:pStyle w:val="style0"/>
        <w:adjustRightInd w:val="false"/>
        <w:snapToGrid w:val="false"/>
        <w:rPr>
          <w:rFonts w:ascii="黑体" w:cs="黑体" w:eastAsia="黑体" w:hAnsi="黑体"/>
          <w:sz w:val="28"/>
          <w:szCs w:val="28"/>
        </w:rPr>
      </w:pPr>
    </w:p>
    <w:p>
      <w:pPr>
        <w:pStyle w:val="style0"/>
        <w:adjustRightInd w:val="false"/>
        <w:snapToGrid w:val="false"/>
        <w:spacing w:lineRule="exact" w:line="600"/>
        <w:rPr>
          <w:rFonts w:ascii="黑体" w:cs="黑体" w:eastAsia="黑体" w:hAnsi="黑体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附件4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光谷未来</w:t>
      </w:r>
      <w:r>
        <w:rPr>
          <w:rFonts w:ascii="Times New Roman" w:eastAsia="方正小标宋简体" w:hAnsi="Times New Roman" w:hint="eastAsia"/>
          <w:sz w:val="44"/>
          <w:szCs w:val="44"/>
        </w:rPr>
        <w:t>城平面图</w:t>
      </w:r>
    </w:p>
    <w:p>
      <w:pPr>
        <w:pStyle w:val="style0"/>
        <w:autoSpaceDE w:val="false"/>
        <w:autoSpaceDN w:val="false"/>
        <w:adjustRightInd w:val="false"/>
        <w:jc w:val="center"/>
        <w:rPr/>
      </w:pPr>
      <w:r>
        <w:rPr>
          <w:rFonts w:hint="eastAsia"/>
          <w:noProof/>
        </w:rPr>
        <w:drawing>
          <wp:inline distL="0" distT="0" distB="0" distR="0">
            <wp:extent cx="6160770" cy="4715510"/>
            <wp:effectExtent l="0" t="0" r="11430" b="8890"/>
            <wp:docPr id="1027" name="图片 1" descr="a58f3ae80330717c3d596ceb9ec3a9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0770" cy="471551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6783" w:h="11850" w:orient="landscape"/>
      <w:pgMar w:top="1440" w:right="1531" w:bottom="1440" w:left="1531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36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36"/>
                      </w:rPr>
                      <w:t>6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153">
    <w:name w:val="Balloon Text"/>
    <w:basedOn w:val="style0"/>
    <w:next w:val="style153"/>
    <w:link w:val="style4097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rPr>
      <w:rFonts w:ascii="Calibri" w:cs="宋体" w:eastAsia="宋体" w:hAnsi="Calibri"/>
      <w:kern w:val="2"/>
      <w:sz w:val="18"/>
      <w:szCs w:val="18"/>
    </w:rPr>
  </w:style>
  <w:style w:type="character" w:styleId="style39">
    <w:name w:val="annotation reference"/>
    <w:basedOn w:val="style65"/>
    <w:next w:val="style39"/>
    <w:rPr>
      <w:sz w:val="21"/>
      <w:szCs w:val="21"/>
    </w:rPr>
  </w:style>
  <w:style w:type="paragraph" w:styleId="style30">
    <w:name w:val="annotation text"/>
    <w:basedOn w:val="style0"/>
    <w:next w:val="style30"/>
    <w:link w:val="style4098"/>
    <w:pPr>
      <w:jc w:val="left"/>
    </w:pPr>
    <w:rPr/>
  </w:style>
  <w:style w:type="character" w:customStyle="1" w:styleId="style4098">
    <w:name w:val="批注文字 Char"/>
    <w:basedOn w:val="style65"/>
    <w:next w:val="style4098"/>
    <w:link w:val="style30"/>
    <w:rPr>
      <w:rFonts w:ascii="Calibri" w:cs="宋体" w:eastAsia="宋体" w:hAnsi="Calibri"/>
      <w:kern w:val="2"/>
      <w:sz w:val="21"/>
      <w:szCs w:val="24"/>
    </w:rPr>
  </w:style>
  <w:style w:type="paragraph" w:styleId="style106">
    <w:name w:val="annotation subject"/>
    <w:basedOn w:val="style30"/>
    <w:next w:val="style30"/>
    <w:link w:val="style4099"/>
    <w:pPr/>
    <w:rPr>
      <w:b/>
      <w:bCs/>
    </w:rPr>
  </w:style>
  <w:style w:type="character" w:customStyle="1" w:styleId="style4099">
    <w:name w:val="批注主题 Char"/>
    <w:basedOn w:val="style4098"/>
    <w:next w:val="style4099"/>
    <w:link w:val="style106"/>
    <w:rPr>
      <w:rFonts w:ascii="Calibri" w:cs="宋体" w:eastAsia="宋体" w:hAnsi="Calibri"/>
      <w:b/>
      <w:bCs/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1313</Words>
  <Pages>7</Pages>
  <Characters>1531</Characters>
  <Application>WPS Office</Application>
  <DocSecurity>0</DocSecurity>
  <Paragraphs>181</Paragraphs>
  <ScaleCrop>false</ScaleCrop>
  <Company>Microsoft</Company>
  <LinksUpToDate>false</LinksUpToDate>
  <CharactersWithSpaces>1574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2020-08-24T07:47:00Z</dcterms:created>
  <dc:creator>静静</dc:creator>
  <lastModifiedBy>ONEPLUS A6000</lastModifiedBy>
  <lastPrinted>2020-08-24T10:35:00Z</lastPrinted>
  <dcterms:modified xsi:type="dcterms:W3CDTF">2020-08-26T03:42:59Z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