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920" w:hanging="1920" w:hangingChars="6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after="312" w:afterLines="100" w:line="540" w:lineRule="exact"/>
        <w:ind w:left="2160" w:hanging="2160" w:hangingChars="600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202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2</w:t>
      </w:r>
      <w:r>
        <w:rPr>
          <w:rFonts w:hint="eastAsia" w:ascii="方正小标宋简体" w:hAnsi="仿宋" w:eastAsia="方正小标宋简体" w:cs="仿宋"/>
          <w:sz w:val="36"/>
          <w:szCs w:val="36"/>
        </w:rPr>
        <w:t>年度山东省省级技术转移服务机构拟备案名单</w:t>
      </w:r>
    </w:p>
    <w:tbl>
      <w:tblPr>
        <w:tblStyle w:val="5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8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3" w:type="dxa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8957" w:type="dxa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机  构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山东理工大学科技园有限公司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淄博桓科技术服务有限公司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东营奇凡信息科技有限公司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东营市领客转移转化科技咨询服务有限公司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潍坊创高信息科技有限公司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国咨（山东）科技服务有限公司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山东科苑校企合作技术股份有限公司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山东睿德科技成果转化有限公司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山东北斗科技信息咨询有限公司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聊城市融川科技咨询有限公司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山东吉宇技术转移有限公司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山东省食品药品检验研究院科技成果转化服务中心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山东省煤田地质规划勘察研究院科技成果转化中心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山东科技大学技术转移研究院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青岛理工大学成果转化办公室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枣庄学院科技处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曲阜师范大学技术转移中心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957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临沂大学科学技术处</w:t>
            </w:r>
          </w:p>
        </w:tc>
      </w:tr>
    </w:tbl>
    <w:p>
      <w:pPr>
        <w:spacing w:line="480" w:lineRule="exact"/>
      </w:pPr>
    </w:p>
    <w:p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5B1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2022-06-01T03:16:48Z</dcterms:created>
  <dc:creator>CH</dc:creator>
  <cp:lastModifiedBy>银河也是河呀</cp:lastModifiedBy>
  <dcterms:modified xsi:type="dcterms:W3CDTF">2022-06-01T03:17:00Z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44DA27F6293D4EF3935B2E8B60C285AF</vt:lpwstr>
  </property>
</Properties>
</file>