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94"/>
        </w:tabs>
        <w:jc w:val="left"/>
        <w:rPr>
          <w:rFonts w:eastAsia="黑体"/>
          <w:bCs/>
          <w:color w:val="000000"/>
          <w:szCs w:val="32"/>
        </w:rPr>
      </w:pPr>
      <w:r>
        <w:rPr>
          <w:rFonts w:eastAsia="黑体"/>
          <w:bCs/>
          <w:color w:val="000000"/>
          <w:szCs w:val="32"/>
        </w:rPr>
        <w:t>附件4</w:t>
      </w:r>
    </w:p>
    <w:p>
      <w:pPr>
        <w:contextualSpacing/>
        <w:jc w:val="center"/>
        <w:rPr>
          <w:rFonts w:eastAsia="方正小标宋简体"/>
          <w:bCs/>
          <w:color w:val="000000"/>
          <w:sz w:val="44"/>
          <w:szCs w:val="44"/>
        </w:rPr>
      </w:pPr>
      <w:r>
        <w:rPr>
          <w:rFonts w:eastAsia="方正小标宋简体"/>
          <w:bCs/>
          <w:color w:val="000000"/>
          <w:sz w:val="44"/>
          <w:szCs w:val="44"/>
        </w:rPr>
        <w:t>省级农业高新技术产业开发区绩效评价指标</w:t>
      </w:r>
    </w:p>
    <w:tbl>
      <w:tblPr>
        <w:tblStyle w:val="3"/>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55"/>
        <w:gridCol w:w="4223"/>
        <w:gridCol w:w="709"/>
        <w:gridCol w:w="1276"/>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shd w:val="clear" w:color="auto" w:fill="auto"/>
            <w:noWrap w:val="0"/>
            <w:vAlign w:val="center"/>
          </w:tcPr>
          <w:p>
            <w:pPr>
              <w:widowControl/>
              <w:spacing w:line="400" w:lineRule="exact"/>
              <w:jc w:val="center"/>
              <w:rPr>
                <w:bCs/>
                <w:color w:val="000000"/>
                <w:kern w:val="0"/>
                <w:sz w:val="24"/>
              </w:rPr>
            </w:pPr>
            <w:r>
              <w:rPr>
                <w:bCs/>
                <w:color w:val="000000"/>
                <w:kern w:val="0"/>
                <w:sz w:val="24"/>
              </w:rPr>
              <w:t>一级指标</w:t>
            </w:r>
          </w:p>
        </w:tc>
        <w:tc>
          <w:tcPr>
            <w:tcW w:w="4223" w:type="dxa"/>
            <w:shd w:val="clear" w:color="auto" w:fill="auto"/>
            <w:noWrap w:val="0"/>
            <w:vAlign w:val="center"/>
          </w:tcPr>
          <w:p>
            <w:pPr>
              <w:widowControl/>
              <w:spacing w:line="400" w:lineRule="exact"/>
              <w:jc w:val="center"/>
              <w:rPr>
                <w:bCs/>
                <w:color w:val="000000"/>
                <w:kern w:val="0"/>
                <w:sz w:val="24"/>
              </w:rPr>
            </w:pPr>
            <w:r>
              <w:rPr>
                <w:bCs/>
                <w:color w:val="000000"/>
                <w:kern w:val="0"/>
                <w:sz w:val="24"/>
              </w:rPr>
              <w:t>二级指标</w:t>
            </w:r>
          </w:p>
        </w:tc>
        <w:tc>
          <w:tcPr>
            <w:tcW w:w="709" w:type="dxa"/>
            <w:shd w:val="clear" w:color="auto" w:fill="auto"/>
            <w:noWrap w:val="0"/>
            <w:vAlign w:val="center"/>
          </w:tcPr>
          <w:p>
            <w:pPr>
              <w:widowControl/>
              <w:spacing w:line="400" w:lineRule="exact"/>
              <w:ind w:left="-138" w:leftChars="-43" w:right="-224" w:rightChars="-70"/>
              <w:jc w:val="center"/>
              <w:rPr>
                <w:bCs/>
                <w:color w:val="000000"/>
                <w:kern w:val="0"/>
                <w:sz w:val="24"/>
              </w:rPr>
            </w:pPr>
            <w:r>
              <w:rPr>
                <w:rFonts w:hint="eastAsia"/>
                <w:bCs/>
                <w:color w:val="000000"/>
                <w:kern w:val="0"/>
                <w:sz w:val="24"/>
              </w:rPr>
              <w:t>权重</w:t>
            </w:r>
          </w:p>
        </w:tc>
        <w:tc>
          <w:tcPr>
            <w:tcW w:w="1276" w:type="dxa"/>
            <w:shd w:val="clear" w:color="auto" w:fill="auto"/>
            <w:noWrap w:val="0"/>
            <w:vAlign w:val="center"/>
          </w:tcPr>
          <w:p>
            <w:pPr>
              <w:widowControl/>
              <w:spacing w:line="400" w:lineRule="exact"/>
              <w:ind w:left="-138" w:leftChars="-43" w:right="-224" w:rightChars="-70"/>
              <w:jc w:val="center"/>
              <w:rPr>
                <w:bCs/>
                <w:color w:val="000000"/>
                <w:kern w:val="0"/>
                <w:sz w:val="24"/>
              </w:rPr>
            </w:pPr>
            <w:r>
              <w:rPr>
                <w:bCs/>
                <w:color w:val="000000"/>
                <w:kern w:val="0"/>
                <w:sz w:val="24"/>
              </w:rPr>
              <w:t>指标性质</w:t>
            </w:r>
          </w:p>
        </w:tc>
        <w:tc>
          <w:tcPr>
            <w:tcW w:w="1417" w:type="dxa"/>
            <w:shd w:val="clear" w:color="auto" w:fill="auto"/>
            <w:noWrap w:val="0"/>
            <w:vAlign w:val="center"/>
          </w:tcPr>
          <w:p>
            <w:pPr>
              <w:widowControl/>
              <w:spacing w:line="400" w:lineRule="exact"/>
              <w:ind w:left="-138" w:leftChars="-43" w:right="-224" w:rightChars="-70"/>
              <w:jc w:val="center"/>
              <w:rPr>
                <w:bCs/>
                <w:color w:val="000000"/>
                <w:kern w:val="0"/>
                <w:sz w:val="24"/>
              </w:rPr>
            </w:pPr>
            <w:r>
              <w:rPr>
                <w:bCs/>
                <w:color w:val="000000"/>
                <w:kern w:val="0"/>
                <w:sz w:val="24"/>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restart"/>
            <w:shd w:val="clear" w:color="auto" w:fill="auto"/>
            <w:noWrap w:val="0"/>
            <w:vAlign w:val="center"/>
          </w:tcPr>
          <w:p>
            <w:pPr>
              <w:pStyle w:val="2"/>
              <w:spacing w:line="400" w:lineRule="exact"/>
              <w:ind w:left="-166" w:leftChars="-52" w:right="-154" w:rightChars="-48"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创新转化能力（30分）</w:t>
            </w:r>
          </w:p>
        </w:tc>
        <w:tc>
          <w:tcPr>
            <w:tcW w:w="4223" w:type="dxa"/>
            <w:shd w:val="clear" w:color="auto" w:fill="auto"/>
            <w:noWrap w:val="0"/>
            <w:vAlign w:val="center"/>
          </w:tcPr>
          <w:p>
            <w:pPr>
              <w:rPr>
                <w:sz w:val="24"/>
                <w:szCs w:val="24"/>
              </w:rPr>
            </w:pPr>
            <w:r>
              <w:rPr>
                <w:sz w:val="24"/>
                <w:szCs w:val="24"/>
              </w:rPr>
              <w:t>规上企业研发投入占比（%）</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省级及以上创新平台数量（个）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科技创新团队数量（个）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承担省级及以上科研项目数量（项）</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snapToGrid w:val="0"/>
              <w:rPr>
                <w:sz w:val="24"/>
                <w:szCs w:val="24"/>
              </w:rPr>
            </w:pPr>
            <w:r>
              <w:rPr>
                <w:sz w:val="24"/>
                <w:szCs w:val="24"/>
              </w:rPr>
              <w:t>选育新品种、授权发明专利、制订国家行业地方标准数量（个）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获得省级及以上科技奖励数量（项）</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restart"/>
            <w:shd w:val="clear" w:color="auto" w:fill="auto"/>
            <w:noWrap w:val="0"/>
            <w:vAlign w:val="center"/>
          </w:tcPr>
          <w:p>
            <w:pPr>
              <w:pStyle w:val="2"/>
              <w:spacing w:line="400" w:lineRule="exact"/>
              <w:ind w:left="-166" w:leftChars="-52" w:right="-154" w:rightChars="-48"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产业发展水平（30分）</w:t>
            </w:r>
          </w:p>
        </w:tc>
        <w:tc>
          <w:tcPr>
            <w:tcW w:w="4223" w:type="dxa"/>
            <w:shd w:val="clear" w:color="auto" w:fill="auto"/>
            <w:noWrap w:val="0"/>
            <w:vAlign w:val="center"/>
          </w:tcPr>
          <w:p>
            <w:pPr>
              <w:rPr>
                <w:sz w:val="24"/>
                <w:szCs w:val="24"/>
              </w:rPr>
            </w:pPr>
            <w:r>
              <w:rPr>
                <w:sz w:val="24"/>
                <w:szCs w:val="24"/>
              </w:rPr>
              <w:t>园区产业总产值</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主导产业产值增长率（%）</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高新技术企业数量（个）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高新技术产业产值占比（%）</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上市企业和挂牌企业数量（个）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snapToGrid w:val="0"/>
              <w:rPr>
                <w:sz w:val="24"/>
                <w:szCs w:val="24"/>
              </w:rPr>
            </w:pPr>
            <w:r>
              <w:rPr>
                <w:sz w:val="24"/>
                <w:szCs w:val="24"/>
              </w:rPr>
              <w:t>省级及以上农业产业化龙头企业数量（个）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snapToGrid w:val="0"/>
              <w:rPr>
                <w:sz w:val="24"/>
                <w:szCs w:val="24"/>
              </w:rPr>
            </w:pPr>
            <w:r>
              <w:rPr>
                <w:sz w:val="24"/>
                <w:szCs w:val="24"/>
              </w:rPr>
              <w:t>知名农产品区域公用品牌、企业产品品牌和地理标志产品（个）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4</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3" w:hRule="exact"/>
        </w:trPr>
        <w:tc>
          <w:tcPr>
            <w:tcW w:w="1555" w:type="dxa"/>
            <w:vMerge w:val="restart"/>
            <w:shd w:val="clear" w:color="auto" w:fill="auto"/>
            <w:noWrap w:val="0"/>
            <w:vAlign w:val="center"/>
          </w:tcPr>
          <w:p>
            <w:pPr>
              <w:pStyle w:val="2"/>
              <w:spacing w:line="400" w:lineRule="exact"/>
              <w:ind w:left="-166" w:leftChars="-52" w:right="-154" w:rightChars="-48"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推动乡村振兴（20分）</w:t>
            </w:r>
          </w:p>
        </w:tc>
        <w:tc>
          <w:tcPr>
            <w:tcW w:w="4223" w:type="dxa"/>
            <w:shd w:val="clear" w:color="auto" w:fill="auto"/>
            <w:noWrap w:val="0"/>
            <w:vAlign w:val="center"/>
          </w:tcPr>
          <w:p>
            <w:pPr>
              <w:snapToGrid w:val="0"/>
              <w:rPr>
                <w:sz w:val="24"/>
                <w:szCs w:val="24"/>
              </w:rPr>
            </w:pPr>
            <w:r>
              <w:rPr>
                <w:sz w:val="24"/>
                <w:szCs w:val="24"/>
              </w:rPr>
              <w:t>推广新品种、新技术、新产品、新装备</w:t>
            </w:r>
          </w:p>
          <w:p>
            <w:pPr>
              <w:snapToGrid w:val="0"/>
              <w:rPr>
                <w:sz w:val="24"/>
                <w:szCs w:val="24"/>
              </w:rPr>
            </w:pPr>
            <w:r>
              <w:rPr>
                <w:sz w:val="24"/>
                <w:szCs w:val="24"/>
              </w:rPr>
              <w:t>数量（项）</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培训基层农技人员数量（人次）</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带动农民就业人数（人）</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城乡居民人均可支配收入比（*/1）</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restart"/>
            <w:shd w:val="clear" w:color="auto" w:fill="auto"/>
            <w:noWrap w:val="0"/>
            <w:vAlign w:val="center"/>
          </w:tcPr>
          <w:p>
            <w:pPr>
              <w:pStyle w:val="2"/>
              <w:spacing w:line="400" w:lineRule="exact"/>
              <w:ind w:left="-166" w:leftChars="-52" w:right="-154" w:rightChars="-48"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管理运行机制（15分）</w:t>
            </w:r>
          </w:p>
        </w:tc>
        <w:tc>
          <w:tcPr>
            <w:tcW w:w="4223" w:type="dxa"/>
            <w:shd w:val="clear" w:color="auto" w:fill="auto"/>
            <w:noWrap w:val="0"/>
            <w:vAlign w:val="center"/>
          </w:tcPr>
          <w:p>
            <w:pPr>
              <w:rPr>
                <w:sz w:val="24"/>
                <w:szCs w:val="24"/>
              </w:rPr>
            </w:pPr>
            <w:r>
              <w:rPr>
                <w:sz w:val="24"/>
                <w:szCs w:val="24"/>
              </w:rPr>
              <w:t>管理机构</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3</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定性指标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支持政策</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3</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定性指标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snapToGrid w:val="0"/>
              <w:rPr>
                <w:sz w:val="24"/>
                <w:szCs w:val="24"/>
              </w:rPr>
            </w:pPr>
            <w:r>
              <w:rPr>
                <w:sz w:val="24"/>
                <w:szCs w:val="24"/>
              </w:rPr>
              <w:t>各类转移转化、科技金融、创业孵化、人才服务平台数量（个）</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555" w:type="dxa"/>
            <w:vMerge w:val="continue"/>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p>
        </w:tc>
        <w:tc>
          <w:tcPr>
            <w:tcW w:w="4223" w:type="dxa"/>
            <w:shd w:val="clear" w:color="auto" w:fill="auto"/>
            <w:noWrap w:val="0"/>
            <w:vAlign w:val="center"/>
          </w:tcPr>
          <w:p>
            <w:pPr>
              <w:rPr>
                <w:sz w:val="24"/>
                <w:szCs w:val="24"/>
              </w:rPr>
            </w:pPr>
            <w:r>
              <w:rPr>
                <w:sz w:val="24"/>
                <w:szCs w:val="24"/>
              </w:rPr>
              <w:t>政府性资金投入（万元）</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定量指标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功效系数法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exact"/>
        </w:trPr>
        <w:tc>
          <w:tcPr>
            <w:tcW w:w="1555" w:type="dxa"/>
            <w:shd w:val="clear" w:color="auto" w:fill="auto"/>
            <w:noWrap w:val="0"/>
            <w:vAlign w:val="center"/>
          </w:tcPr>
          <w:p>
            <w:pPr>
              <w:pStyle w:val="2"/>
              <w:spacing w:line="400" w:lineRule="exact"/>
              <w:ind w:right="-154" w:rightChars="-48"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其他突出成效（5分）</w:t>
            </w:r>
          </w:p>
        </w:tc>
        <w:tc>
          <w:tcPr>
            <w:tcW w:w="4223" w:type="dxa"/>
            <w:shd w:val="clear" w:color="auto" w:fill="auto"/>
            <w:noWrap w:val="0"/>
            <w:vAlign w:val="center"/>
          </w:tcPr>
          <w:p>
            <w:pPr>
              <w:snapToGrid w:val="0"/>
              <w:rPr>
                <w:sz w:val="24"/>
                <w:szCs w:val="24"/>
              </w:rPr>
            </w:pPr>
            <w:r>
              <w:rPr>
                <w:sz w:val="24"/>
                <w:szCs w:val="24"/>
              </w:rPr>
              <w:t>对农高区发展有重大支撑作用的政策</w:t>
            </w:r>
          </w:p>
          <w:p>
            <w:pPr>
              <w:snapToGrid w:val="0"/>
              <w:rPr>
                <w:sz w:val="24"/>
                <w:szCs w:val="24"/>
              </w:rPr>
            </w:pPr>
            <w:r>
              <w:rPr>
                <w:sz w:val="24"/>
                <w:szCs w:val="24"/>
              </w:rPr>
              <w:t>举措、平台、人才、项目、成果等</w:t>
            </w:r>
          </w:p>
        </w:tc>
        <w:tc>
          <w:tcPr>
            <w:tcW w:w="709"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5</w:t>
            </w:r>
          </w:p>
        </w:tc>
        <w:tc>
          <w:tcPr>
            <w:tcW w:w="1276"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定性指标</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r>
              <w:rPr>
                <w:rFonts w:ascii="Times New Roman" w:hAnsi="Times New Roman" w:eastAsia="宋体"/>
                <w:color w:val="000000"/>
                <w:kern w:val="0"/>
                <w:sz w:val="24"/>
                <w:szCs w:val="20"/>
              </w:rPr>
              <w:t>专家打分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exact"/>
        </w:trPr>
        <w:tc>
          <w:tcPr>
            <w:tcW w:w="5778" w:type="dxa"/>
            <w:gridSpan w:val="2"/>
            <w:shd w:val="clear" w:color="auto" w:fill="auto"/>
            <w:noWrap w:val="0"/>
            <w:vAlign w:val="center"/>
          </w:tcPr>
          <w:p>
            <w:pPr>
              <w:pStyle w:val="2"/>
              <w:spacing w:line="400" w:lineRule="exact"/>
              <w:ind w:firstLine="0" w:firstLineChars="0"/>
              <w:jc w:val="center"/>
              <w:rPr>
                <w:rFonts w:ascii="Times New Roman" w:hAnsi="Times New Roman" w:eastAsia="宋体"/>
                <w:bCs/>
                <w:color w:val="000000"/>
                <w:kern w:val="0"/>
                <w:sz w:val="24"/>
                <w:szCs w:val="20"/>
              </w:rPr>
            </w:pPr>
            <w:r>
              <w:rPr>
                <w:rFonts w:ascii="Times New Roman" w:hAnsi="Times New Roman" w:eastAsia="宋体"/>
                <w:bCs/>
                <w:color w:val="000000"/>
                <w:kern w:val="0"/>
                <w:sz w:val="24"/>
                <w:szCs w:val="20"/>
              </w:rPr>
              <w:t>总        分</w:t>
            </w:r>
          </w:p>
        </w:tc>
        <w:tc>
          <w:tcPr>
            <w:tcW w:w="1985" w:type="dxa"/>
            <w:gridSpan w:val="2"/>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bCs/>
                <w:color w:val="000000"/>
                <w:kern w:val="0"/>
                <w:sz w:val="24"/>
                <w:szCs w:val="20"/>
              </w:rPr>
            </w:pPr>
            <w:r>
              <w:rPr>
                <w:rFonts w:ascii="Times New Roman" w:hAnsi="Times New Roman" w:eastAsia="宋体"/>
                <w:bCs/>
                <w:color w:val="000000"/>
                <w:kern w:val="0"/>
                <w:sz w:val="24"/>
                <w:szCs w:val="20"/>
              </w:rPr>
              <w:t>100</w:t>
            </w:r>
          </w:p>
        </w:tc>
        <w:tc>
          <w:tcPr>
            <w:tcW w:w="1417" w:type="dxa"/>
            <w:shd w:val="clear" w:color="auto" w:fill="auto"/>
            <w:noWrap w:val="0"/>
            <w:vAlign w:val="center"/>
          </w:tcPr>
          <w:p>
            <w:pPr>
              <w:pStyle w:val="2"/>
              <w:spacing w:line="400" w:lineRule="exact"/>
              <w:ind w:left="-138" w:leftChars="-43" w:right="-224" w:rightChars="-70" w:firstLine="0" w:firstLineChars="0"/>
              <w:jc w:val="center"/>
              <w:rPr>
                <w:rFonts w:ascii="Times New Roman" w:hAnsi="Times New Roman" w:eastAsia="宋体"/>
                <w:color w:val="000000"/>
                <w:kern w:val="0"/>
                <w:sz w:val="24"/>
                <w:szCs w:val="20"/>
              </w:rPr>
            </w:pPr>
          </w:p>
        </w:tc>
      </w:tr>
    </w:tbl>
    <w:p>
      <w:pPr>
        <w:pStyle w:val="2"/>
        <w:spacing w:line="560" w:lineRule="exact"/>
        <w:ind w:firstLine="0" w:firstLineChars="0"/>
        <w:rPr>
          <w:rFonts w:ascii="Times New Roman" w:hAnsi="Times New Roman" w:eastAsia="楷体"/>
          <w:bCs/>
          <w:color w:val="000000"/>
          <w:sz w:val="30"/>
          <w:szCs w:val="30"/>
        </w:rPr>
      </w:pPr>
      <w:r>
        <w:rPr>
          <w:rFonts w:ascii="Times New Roman" w:hAnsi="Times New Roman" w:eastAsia="楷体"/>
          <w:bCs/>
          <w:color w:val="000000"/>
          <w:sz w:val="30"/>
          <w:szCs w:val="30"/>
        </w:rPr>
        <w:t>指标解释：</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1.规上企业研发投入占比：绩效评价两年度省级农高区内涉农规上企业研发投入占比平均数。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2.省级及以上创新平台数量：省级农高区内现有涉农省级及以上各类研发机构总数。包括：国家和省级重点实验室、技术创新中心、工程技术研究中心、工程实验室、工程研究中心、院士工作站、博士后科研工作站、新型研发机构等。</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3.科技创新团队数量：省级农高区内现有涉农企业及相关研发机构中以具有省级及以上人才称号的高层次科技创新人才为核心，以农业技术研究与开发为工作内容，研发贡献大、团队效应突出、引领作用显著的创新团队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4.承担省级及以上科研项目数量：绩效评价两年度省级农高区内各创新和经营主体承担的由省级及以上政府部门资助的基础研究类、应用研究类和技术推广类等涉农科研项目总数。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5.选育新品种、授权发明专利、制订国家行业地方标准数量：绩效评价两年度省级农高区内各创新和经营主体审（认）定的动植物新品种、获得的涉农国际和国家发明专利、牵头或参与制定并已发布的涉农国家行业地方标准总数量。</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6.获得省级及以上科技奖励数量：绩效评价两年度省级农高区内各创新和经营主体获得的涉农省级及以上政府部门设立的科技成果奖励总数（不包括各类学会、协会奖）。</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7.园区产业总产值：绩效评价两年度省级农高区内涉农产业总产值。</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8.主导产业产值增长率：绩效评价当年省级农高区主导产业产值比上年增长比率。</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9.高新技术企业数量：省级农高区现有内涉农高新技术企业总数。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10.高新技术产业产值占比：绩效评价两年度省级农高区内涉农高新技术企业产值占比（涉农高新技术企业总产值占涉农产业总产值比例）平均数。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11.上市企业和挂牌企业数量：省级农高区内现有在境内外上市涉农企业或新三板挂牌涉农企业总数（不包括企业子公司）。</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12.省级及以上农业产业化龙头企业数量：省级农高区内现有通过认定的国家级和省级农业产业化龙头企业总数。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13.知名农产品区域公用品牌、企业产品品牌和地理标志产品：省级农高区内现有通过认定的知名农产品区域公用品牌、企业产品品牌和地理标志产品总数。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14.推广新品种、新技术、新产品、新装备数量：绩效评价两年度省级农高区内各创新主体累计推广的新品种、新技术、新产品、新装备总数。包括：各类新品种、先进技术、新型投入品、新型农机装备以及自动化、智能化、机械化程度高的温室/大棚、畜禽舍、网箱、菇房等。推广面积小于500亩或经济效益低于100万元的不作计数，同样产品不重复计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15.培训基层农技人员数量：绩效评价两年度省级农高区内从事农业技术服务和农业推广工作的专业人员及各类生产经营主体培训的农村基层农技人员、基层人才、高素质农民的总人次。其中：高素质农民是指接受过专业培训、受雇于农高区内各类生产主体并仍然从事农业生产经营的农民。</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16.带动农民就业人数：绩效评价两年度省级农高区内各类生产经营主体通过产业发展带动就业农民总数。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17.城乡居民人均可支配收入比：绩效评价当年省级农高区所在县域上年度城乡居民人均可支配收入比。</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18.管理机构：省级农高区建设工作领导小组、管委会等管理机构设置和运行情况。</w:t>
      </w:r>
    </w:p>
    <w:p>
      <w:pPr>
        <w:pStyle w:val="5"/>
        <w:ind w:firstLine="592"/>
        <w:contextualSpacing/>
        <w:rPr>
          <w:rFonts w:ascii="Times New Roman" w:hAnsi="Times New Roman" w:eastAsia="仿宋_GB2312"/>
          <w:color w:val="000000"/>
          <w:sz w:val="30"/>
          <w:szCs w:val="30"/>
        </w:rPr>
      </w:pPr>
      <w:r>
        <w:rPr>
          <w:rFonts w:ascii="Times New Roman" w:hAnsi="Times New Roman" w:eastAsia="仿宋_GB2312"/>
          <w:color w:val="000000"/>
          <w:sz w:val="30"/>
          <w:szCs w:val="30"/>
        </w:rPr>
        <w:t>19.支持政策：当地政府和省级农高区管委会制定的支持省级农高区建设和发展的各类政策措施情况。</w:t>
      </w:r>
    </w:p>
    <w:p>
      <w:pPr>
        <w:pStyle w:val="5"/>
        <w:ind w:firstLine="592"/>
        <w:contextualSpacing/>
        <w:rPr>
          <w:rFonts w:ascii="Times New Roman" w:hAnsi="Times New Roman" w:eastAsia="仿宋_GB2312"/>
          <w:color w:val="000000"/>
          <w:sz w:val="30"/>
          <w:szCs w:val="30"/>
        </w:rPr>
      </w:pPr>
      <w:r>
        <w:rPr>
          <w:rFonts w:ascii="Times New Roman" w:hAnsi="Times New Roman" w:eastAsia="仿宋_GB2312"/>
          <w:color w:val="000000"/>
          <w:sz w:val="30"/>
          <w:szCs w:val="30"/>
        </w:rPr>
        <w:t>20.各类转移转化、创业孵化、科技金融、人才服务平台数量：省级农高区内现有各类转移转化（概念验证中心、产权交易中心、成果转化中心等）、孵化机构（孵化器、大学科技园、加速器等）、金融服务机构（创业风险投资机构、银行、保险代理机构、证券机构、担保公司、小额贷款公司、科技融资租赁公司、科技金融服务机构等）、人才服务机构（从事人才就业、使用、发展、管理、交流和培训的综合性服务机构）总数。</w:t>
      </w:r>
    </w:p>
    <w:p>
      <w:pPr>
        <w:pStyle w:val="2"/>
        <w:snapToGrid/>
        <w:spacing w:line="240" w:lineRule="auto"/>
        <w:ind w:firstLine="592"/>
        <w:contextualSpacing/>
        <w:rPr>
          <w:rFonts w:ascii="Times New Roman" w:hAnsi="Times New Roman"/>
          <w:color w:val="000000"/>
          <w:sz w:val="30"/>
          <w:szCs w:val="30"/>
        </w:rPr>
      </w:pPr>
      <w:r>
        <w:rPr>
          <w:rFonts w:ascii="Times New Roman" w:hAnsi="Times New Roman"/>
          <w:color w:val="000000"/>
          <w:sz w:val="30"/>
          <w:szCs w:val="30"/>
        </w:rPr>
        <w:t>21.</w:t>
      </w:r>
      <w:r>
        <w:rPr>
          <w:rFonts w:ascii="Times New Roman" w:hAnsi="Times New Roman"/>
        </w:rPr>
        <w:t xml:space="preserve"> </w:t>
      </w:r>
      <w:r>
        <w:rPr>
          <w:rFonts w:ascii="Times New Roman" w:hAnsi="Times New Roman"/>
          <w:color w:val="000000"/>
          <w:sz w:val="30"/>
          <w:szCs w:val="30"/>
        </w:rPr>
        <w:t>政府性资金投入：绩效评价两年度省级农高区财政资金或国有平台公司等政府性资金投入总额。</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1F040F27"/>
    <w:rsid w:val="1EDF6033"/>
    <w:rsid w:val="1F040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2"/>
    <w:basedOn w:val="1"/>
    <w:qFormat/>
    <w:uiPriority w:val="0"/>
    <w:pPr>
      <w:adjustRightInd w:val="0"/>
      <w:snapToGrid w:val="0"/>
      <w:spacing w:line="360" w:lineRule="auto"/>
      <w:ind w:firstLine="690" w:firstLineChars="200"/>
    </w:pPr>
    <w:rPr>
      <w:rFonts w:ascii="Calibri" w:hAnsi="Calibri" w:eastAsia="仿宋_GB2312"/>
      <w:sz w:val="32"/>
      <w:szCs w:val="32"/>
    </w:rPr>
  </w:style>
  <w:style w:type="paragraph" w:styleId="5">
    <w:name w:val="List Paragraph"/>
    <w:basedOn w:val="1"/>
    <w:qFormat/>
    <w:uiPriority w:val="1"/>
    <w:pPr>
      <w:ind w:firstLine="420" w:firstLineChars="200"/>
    </w:pPr>
    <w:rPr>
      <w:rFonts w:ascii="等线" w:hAnsi="等线" w:eastAsia="等线" w:cs="Times New Roman"/>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2024-08-21T03:19:00Z</dcterms:created>
  <dc:creator>'Always</dc:creator>
  <cp:lastModifiedBy>'Always</cp:lastModifiedBy>
  <dcterms:modified xsi:type="dcterms:W3CDTF">2024-08-21T03:23:58Z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3185B4E65A8C4EE1BDF449DC76747C49_11</vt:lpwstr>
  </property>
</Properties>
</file>