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80" w:lineRule="exact"/>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w:t>
      </w:r>
    </w:p>
    <w:p>
      <w:pPr>
        <w:spacing w:line="580" w:lineRule="exact"/>
        <w:jc w:val="center"/>
        <w:rPr>
          <w:rFonts w:hint="eastAsia" w:ascii="方正小标宋简体" w:hAnsi="方正小标宋简体" w:eastAsia="方正小标宋简体" w:cs="方正小标宋简体"/>
          <w:sz w:val="44"/>
          <w:szCs w:val="36"/>
        </w:rPr>
      </w:pPr>
    </w:p>
    <w:p>
      <w:pPr>
        <w:spacing w:line="580" w:lineRule="exact"/>
        <w:jc w:val="center"/>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山东省技术转移人才培养基地绩效评价指标</w:t>
      </w:r>
    </w:p>
    <w:p>
      <w:pPr>
        <w:spacing w:line="580" w:lineRule="exact"/>
        <w:jc w:val="center"/>
        <w:rPr>
          <w:rFonts w:ascii="方正小标宋简体" w:hAnsi="方正小标宋简体" w:eastAsia="方正小标宋简体" w:cs="方正小标宋简体"/>
          <w:sz w:val="10"/>
          <w:szCs w:val="10"/>
        </w:rPr>
      </w:pPr>
    </w:p>
    <w:tbl>
      <w:tblPr>
        <w:tblStyle w:val="4"/>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919"/>
        <w:gridCol w:w="2734"/>
        <w:gridCol w:w="491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97" w:type="dxa"/>
            <w:vAlign w:val="center"/>
          </w:tcPr>
          <w:p>
            <w:pPr>
              <w:adjustRightInd w:val="0"/>
              <w:spacing w:line="440" w:lineRule="exact"/>
              <w:jc w:val="center"/>
              <w:rPr>
                <w:rFonts w:ascii="黑体" w:hAnsi="黑体" w:eastAsia="黑体" w:cs="黑体"/>
                <w:sz w:val="28"/>
                <w:szCs w:val="30"/>
              </w:rPr>
            </w:pPr>
            <w:r>
              <w:rPr>
                <w:rFonts w:hint="eastAsia" w:ascii="黑体" w:hAnsi="黑体" w:eastAsia="黑体" w:cs="黑体"/>
                <w:sz w:val="28"/>
                <w:szCs w:val="30"/>
              </w:rPr>
              <w:t>一级指标</w:t>
            </w:r>
          </w:p>
        </w:tc>
        <w:tc>
          <w:tcPr>
            <w:tcW w:w="919" w:type="dxa"/>
            <w:vAlign w:val="center"/>
          </w:tcPr>
          <w:p>
            <w:pPr>
              <w:adjustRightInd w:val="0"/>
              <w:spacing w:line="440" w:lineRule="exact"/>
              <w:jc w:val="center"/>
              <w:rPr>
                <w:rFonts w:ascii="黑体" w:hAnsi="黑体" w:eastAsia="黑体" w:cs="黑体"/>
                <w:sz w:val="28"/>
                <w:szCs w:val="30"/>
              </w:rPr>
            </w:pPr>
            <w:r>
              <w:rPr>
                <w:rFonts w:hint="eastAsia" w:ascii="黑体" w:hAnsi="黑体" w:eastAsia="黑体" w:cs="黑体"/>
                <w:sz w:val="28"/>
                <w:szCs w:val="30"/>
              </w:rPr>
              <w:t>分数</w:t>
            </w:r>
          </w:p>
        </w:tc>
        <w:tc>
          <w:tcPr>
            <w:tcW w:w="2734" w:type="dxa"/>
            <w:vAlign w:val="center"/>
          </w:tcPr>
          <w:p>
            <w:pPr>
              <w:adjustRightInd w:val="0"/>
              <w:spacing w:line="440" w:lineRule="exact"/>
              <w:jc w:val="center"/>
              <w:rPr>
                <w:rFonts w:ascii="黑体" w:hAnsi="黑体" w:eastAsia="黑体" w:cs="黑体"/>
                <w:sz w:val="28"/>
                <w:szCs w:val="30"/>
              </w:rPr>
            </w:pPr>
            <w:r>
              <w:rPr>
                <w:rFonts w:hint="eastAsia" w:ascii="黑体" w:hAnsi="黑体" w:eastAsia="黑体" w:cs="黑体"/>
                <w:sz w:val="28"/>
                <w:szCs w:val="30"/>
              </w:rPr>
              <w:t>二级指标</w:t>
            </w:r>
          </w:p>
        </w:tc>
        <w:tc>
          <w:tcPr>
            <w:tcW w:w="4913" w:type="dxa"/>
            <w:vAlign w:val="center"/>
          </w:tcPr>
          <w:p>
            <w:pPr>
              <w:adjustRightInd w:val="0"/>
              <w:spacing w:line="440" w:lineRule="exact"/>
              <w:jc w:val="center"/>
              <w:rPr>
                <w:rFonts w:ascii="黑体" w:hAnsi="黑体" w:eastAsia="黑体" w:cs="黑体"/>
                <w:sz w:val="28"/>
                <w:szCs w:val="30"/>
              </w:rPr>
            </w:pPr>
            <w:r>
              <w:rPr>
                <w:rFonts w:hint="eastAsia" w:ascii="黑体" w:hAnsi="黑体" w:eastAsia="黑体" w:cs="黑体"/>
                <w:sz w:val="28"/>
                <w:szCs w:val="30"/>
              </w:rPr>
              <w:t>评分说明</w:t>
            </w:r>
          </w:p>
        </w:tc>
        <w:tc>
          <w:tcPr>
            <w:tcW w:w="815" w:type="dxa"/>
            <w:vAlign w:val="center"/>
          </w:tcPr>
          <w:p>
            <w:pPr>
              <w:adjustRightInd w:val="0"/>
              <w:spacing w:line="440" w:lineRule="exact"/>
              <w:jc w:val="center"/>
              <w:rPr>
                <w:rFonts w:ascii="黑体" w:hAnsi="黑体" w:eastAsia="黑体" w:cs="黑体"/>
                <w:sz w:val="28"/>
                <w:szCs w:val="30"/>
              </w:rPr>
            </w:pPr>
            <w:r>
              <w:rPr>
                <w:rFonts w:hint="eastAsia" w:ascii="黑体" w:hAnsi="黑体" w:eastAsia="黑体" w:cs="黑体"/>
                <w:sz w:val="28"/>
                <w:szCs w:val="3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7"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配套</w:t>
            </w:r>
          </w:p>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建设</w:t>
            </w:r>
          </w:p>
        </w:tc>
        <w:tc>
          <w:tcPr>
            <w:tcW w:w="919"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内部规章、管理制度等配套情况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根据制度是否健全、内容是否合理，满分5分，否则酌情给分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场地设施及教学设备等配备情况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是否具有与技术转移培训相配备的场地设施以及教学设备情况，满分5分，否则酌情给分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技术转移人才培训师资情况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组建相对固定、专业化、高层次的师资团队，满分5分，否则酌情给分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技术转移人才培训教材情况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是否根据《国家技术转移专业人员能力等级培训大纲（试行）》有针对性地编制培训讲义及培训教材，满分3分，否则酌情给分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专职技术转移人才培训工作人员情况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组建技术转移人才培训工作人员专班，熟悉技术转移及成果转化相关法规政策和工作流程，满2分，否则酌情给分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897"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培训</w:t>
            </w:r>
          </w:p>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组织</w:t>
            </w:r>
          </w:p>
        </w:tc>
        <w:tc>
          <w:tcPr>
            <w:tcW w:w="919"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35分</w:t>
            </w: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培训计划制定及落实情况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是否以《国家技术转移专业人员能力等级培训大纲（试行）》制定年度培训计划，落实大纲要求的课程设置、学时安排、考核和评教方式等，满分</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培训人次完成情况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依据年度方案明确的培训任务人次目标完成情况赋分，满分</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97" w:type="dxa"/>
            <w:vAlign w:val="center"/>
          </w:tcPr>
          <w:p>
            <w:pPr>
              <w:adjustRightInd w:val="0"/>
              <w:spacing w:line="440" w:lineRule="exact"/>
              <w:jc w:val="center"/>
              <w:rPr>
                <w:rFonts w:ascii="仿宋_GB2312" w:hAnsi="仿宋_GB2312" w:eastAsia="仿宋_GB2312" w:cs="仿宋_GB2312"/>
                <w:sz w:val="28"/>
                <w:szCs w:val="24"/>
              </w:rPr>
            </w:pPr>
            <w:r>
              <w:rPr>
                <w:rFonts w:hint="eastAsia" w:ascii="黑体" w:hAnsi="黑体" w:eastAsia="黑体" w:cs="黑体"/>
                <w:sz w:val="28"/>
                <w:szCs w:val="30"/>
              </w:rPr>
              <w:t>一级指标</w:t>
            </w:r>
          </w:p>
        </w:tc>
        <w:tc>
          <w:tcPr>
            <w:tcW w:w="919" w:type="dxa"/>
            <w:vAlign w:val="center"/>
          </w:tcPr>
          <w:p>
            <w:pPr>
              <w:adjustRightInd w:val="0"/>
              <w:spacing w:line="440" w:lineRule="exact"/>
              <w:jc w:val="center"/>
              <w:rPr>
                <w:rFonts w:ascii="仿宋_GB2312" w:hAnsi="仿宋_GB2312" w:eastAsia="仿宋_GB2312" w:cs="仿宋_GB2312"/>
                <w:sz w:val="28"/>
                <w:szCs w:val="24"/>
              </w:rPr>
            </w:pPr>
            <w:r>
              <w:rPr>
                <w:rFonts w:hint="eastAsia" w:ascii="黑体" w:hAnsi="黑体" w:eastAsia="黑体" w:cs="黑体"/>
                <w:sz w:val="28"/>
                <w:szCs w:val="30"/>
              </w:rPr>
              <w:t>分数</w:t>
            </w:r>
          </w:p>
        </w:tc>
        <w:tc>
          <w:tcPr>
            <w:tcW w:w="2734" w:type="dxa"/>
            <w:vAlign w:val="center"/>
          </w:tcPr>
          <w:p>
            <w:pPr>
              <w:adjustRightInd w:val="0"/>
              <w:spacing w:line="440" w:lineRule="exact"/>
              <w:jc w:val="center"/>
              <w:rPr>
                <w:rFonts w:hint="eastAsia" w:ascii="仿宋_GB2312" w:hAnsi="仿宋_GB2312" w:eastAsia="仿宋_GB2312" w:cs="仿宋_GB2312"/>
                <w:sz w:val="28"/>
                <w:szCs w:val="24"/>
              </w:rPr>
            </w:pPr>
            <w:r>
              <w:rPr>
                <w:rFonts w:hint="eastAsia" w:ascii="黑体" w:hAnsi="黑体" w:eastAsia="黑体" w:cs="黑体"/>
                <w:sz w:val="28"/>
                <w:szCs w:val="30"/>
              </w:rPr>
              <w:t>二级指标</w:t>
            </w:r>
          </w:p>
        </w:tc>
        <w:tc>
          <w:tcPr>
            <w:tcW w:w="4913" w:type="dxa"/>
            <w:vAlign w:val="center"/>
          </w:tcPr>
          <w:p>
            <w:pPr>
              <w:adjustRightInd w:val="0"/>
              <w:spacing w:line="440" w:lineRule="exact"/>
              <w:jc w:val="center"/>
              <w:rPr>
                <w:rFonts w:hint="eastAsia" w:ascii="仿宋_GB2312" w:hAnsi="仿宋_GB2312" w:eastAsia="仿宋_GB2312" w:cs="仿宋_GB2312"/>
                <w:sz w:val="28"/>
                <w:szCs w:val="24"/>
              </w:rPr>
            </w:pPr>
            <w:r>
              <w:rPr>
                <w:rFonts w:hint="eastAsia" w:ascii="黑体" w:hAnsi="黑体" w:eastAsia="黑体" w:cs="黑体"/>
                <w:sz w:val="28"/>
                <w:szCs w:val="30"/>
              </w:rPr>
              <w:t>评分说明</w:t>
            </w:r>
          </w:p>
        </w:tc>
        <w:tc>
          <w:tcPr>
            <w:tcW w:w="815" w:type="dxa"/>
            <w:vAlign w:val="center"/>
          </w:tcPr>
          <w:p>
            <w:pPr>
              <w:adjustRightInd w:val="0"/>
              <w:spacing w:line="440" w:lineRule="exact"/>
              <w:jc w:val="center"/>
              <w:rPr>
                <w:rFonts w:hint="eastAsia" w:ascii="仿宋_GB2312" w:hAnsi="仿宋_GB2312" w:eastAsia="仿宋_GB2312" w:cs="仿宋_GB2312"/>
                <w:sz w:val="28"/>
                <w:szCs w:val="24"/>
              </w:rPr>
            </w:pPr>
            <w:r>
              <w:rPr>
                <w:rFonts w:hint="eastAsia" w:ascii="黑体" w:hAnsi="黑体" w:eastAsia="黑体" w:cs="黑体"/>
                <w:sz w:val="28"/>
                <w:szCs w:val="3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97" w:type="dxa"/>
            <w:vMerge w:val="restart"/>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restart"/>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培训场次完成情况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依据年度方案明确的培训任务场次目标完成情况赋分，对培训高级技术经理人酌情加分，满分</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受训人员反馈培训情况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受培训人员满意度为100%得5分，（80%-99%）得4分，(60%-79%)得3分，60%以下不得分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培训经费使用管理情况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资金来源合法合规，管理规范，根据市场化运营收入酌情加分，满分5分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97"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培训绩效</w:t>
            </w:r>
          </w:p>
        </w:tc>
        <w:tc>
          <w:tcPr>
            <w:tcW w:w="919"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30分</w:t>
            </w:r>
          </w:p>
        </w:tc>
        <w:tc>
          <w:tcPr>
            <w:tcW w:w="2734"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受培训人员从业情况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培训合格的受训人员是否现从事技术转移工作，且遵守技术转移相关法规政策开展工作，满分10分，否则酌情给分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受培训人员从事技术经纪业绩</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依据培训后在促成技术合同的成交数量、到账金额等方面取得的成绩，满分10分，否则酌情给分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培训资源推广应用情况</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所编写培训教材被其他单位所采纳应用，签约教师及精品课程服务于其他单位，满分1</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分，否则酌情给分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897"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影响</w:t>
            </w:r>
          </w:p>
        </w:tc>
        <w:tc>
          <w:tcPr>
            <w:tcW w:w="919" w:type="dxa"/>
            <w:vMerge w:val="restart"/>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15分</w:t>
            </w:r>
          </w:p>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创新培训模式和先进经验情况</w:t>
            </w:r>
          </w:p>
        </w:tc>
        <w:tc>
          <w:tcPr>
            <w:tcW w:w="4913" w:type="dxa"/>
            <w:vAlign w:val="center"/>
          </w:tcPr>
          <w:p>
            <w:pPr>
              <w:spacing w:line="440" w:lineRule="exact"/>
              <w:jc w:val="left"/>
              <w:rPr>
                <w:szCs w:val="24"/>
              </w:rPr>
            </w:pPr>
            <w:r>
              <w:rPr>
                <w:rFonts w:hint="eastAsia" w:ascii="仿宋_GB2312" w:hAnsi="仿宋_GB2312" w:eastAsia="仿宋_GB2312" w:cs="仿宋_GB2312"/>
                <w:sz w:val="24"/>
                <w:szCs w:val="24"/>
              </w:rPr>
              <w:t>在基地建设和培训开展过程中是否形成创新的培训模式和先进的培训经验，并被其他国家或省级技术转移人才培训基地推广应用，酌情给分，满分5分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97" w:type="dxa"/>
            <w:vMerge w:val="continue"/>
            <w:vAlign w:val="center"/>
          </w:tcPr>
          <w:p>
            <w:pPr>
              <w:adjustRightInd w:val="0"/>
              <w:spacing w:line="440" w:lineRule="exact"/>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推广宣传及品牌效益</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根据对本基地技术转移人才培训的宣传情况以及品牌影响力酌情给分，满分5分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897"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919" w:type="dxa"/>
            <w:vMerge w:val="continue"/>
            <w:vAlign w:val="center"/>
          </w:tcPr>
          <w:p>
            <w:pPr>
              <w:adjustRightInd w:val="0"/>
              <w:spacing w:line="440" w:lineRule="exact"/>
              <w:jc w:val="center"/>
              <w:rPr>
                <w:rFonts w:ascii="仿宋_GB2312" w:hAnsi="仿宋_GB2312" w:eastAsia="仿宋_GB2312" w:cs="仿宋_GB2312"/>
                <w:sz w:val="24"/>
                <w:szCs w:val="24"/>
              </w:rPr>
            </w:pPr>
          </w:p>
        </w:tc>
        <w:tc>
          <w:tcPr>
            <w:tcW w:w="2734"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对全省或本经济圈高质量发展的带动作用</w:t>
            </w:r>
          </w:p>
        </w:tc>
        <w:tc>
          <w:tcPr>
            <w:tcW w:w="4913" w:type="dxa"/>
            <w:vAlign w:val="center"/>
          </w:tcPr>
          <w:p>
            <w:pPr>
              <w:adjustRightInd w:val="0"/>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针对全省“十强”产业发展和本经济圈产业布局形成的培训特色，对接技术转移服务机构，服务本地区经济高质量发展的贡献情况酌情给分，满分5分</w:t>
            </w:r>
          </w:p>
        </w:tc>
        <w:tc>
          <w:tcPr>
            <w:tcW w:w="815" w:type="dxa"/>
            <w:vAlign w:val="center"/>
          </w:tcPr>
          <w:p>
            <w:pPr>
              <w:adjustRightInd w:val="0"/>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bl>
    <w:p>
      <w:pPr>
        <w:spacing w:line="480" w:lineRule="exact"/>
        <w:rPr>
          <w:rFonts w:hint="eastAsia"/>
        </w:rPr>
      </w:pPr>
    </w:p>
    <w:p>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B0"/>
    <w:rsid w:val="003C35B0"/>
    <w:rsid w:val="006D6004"/>
    <w:rsid w:val="00A34E6F"/>
    <w:rsid w:val="00F34C7A"/>
    <w:rsid w:val="070A32E2"/>
    <w:rsid w:val="07C2597F"/>
    <w:rsid w:val="1057497B"/>
    <w:rsid w:val="18304E2F"/>
    <w:rsid w:val="2E726C2B"/>
    <w:rsid w:val="318C0C1B"/>
    <w:rsid w:val="350A67B2"/>
    <w:rsid w:val="437C2C94"/>
    <w:rsid w:val="638917D1"/>
    <w:rsid w:val="6B2E3379"/>
    <w:rsid w:val="6BE52EF8"/>
    <w:rsid w:val="71585FFB"/>
    <w:rsid w:val="7EA2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7"/>
    <w:qFormat/>
    <w:uiPriority w:val="0"/>
    <w:pPr>
      <w:ind w:firstLine="420" w:firstLineChars="100"/>
    </w:pPr>
  </w:style>
  <w:style w:type="paragraph" w:styleId="3">
    <w:name w:val="Body Text"/>
    <w:basedOn w:val="1"/>
    <w:link w:val="6"/>
    <w:semiHidden/>
    <w:unhideWhenUsed/>
    <w:qFormat/>
    <w:uiPriority w:val="99"/>
    <w:pPr>
      <w:spacing w:after="120"/>
    </w:pPr>
  </w:style>
  <w:style w:type="character" w:customStyle="1" w:styleId="6">
    <w:name w:val="正文文本 字符"/>
    <w:basedOn w:val="5"/>
    <w:link w:val="3"/>
    <w:semiHidden/>
    <w:qFormat/>
    <w:uiPriority w:val="99"/>
    <w:rPr>
      <w:rFonts w:ascii="Times New Roman" w:hAnsi="Times New Roman" w:eastAsia="宋体" w:cs="Times New Roman"/>
      <w:szCs w:val="20"/>
    </w:rPr>
  </w:style>
  <w:style w:type="character" w:customStyle="1" w:styleId="7">
    <w:name w:val="正文文本首行缩进 字符"/>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171</Words>
  <Characters>981</Characters>
  <Lines>8</Lines>
  <Paragraphs>2</Paragraphs>
  <TotalTime>2</TotalTime>
  <ScaleCrop>false</ScaleCrop>
  <LinksUpToDate>false</LinksUpToDate>
  <CharactersWithSpaces>1150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2021-05-07T09:10:00Z</dcterms:created>
  <dc:creator>zhang wenwen</dc:creator>
  <cp:lastModifiedBy>CH</cp:lastModifiedBy>
  <dcterms:modified xsi:type="dcterms:W3CDTF">2021-07-16T00:29:31Z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