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>
      <w:pPr>
        <w:spacing w:after="289" w:afterLines="50" w:line="580" w:lineRule="exact"/>
        <w:ind w:firstLine="880" w:firstLineChars="200"/>
        <w:jc w:val="center"/>
        <w:rPr>
          <w:rFonts w:ascii="黑体" w:hAnsi="黑体" w:eastAsia="黑体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第三批省级创新创业共同体名单</w:t>
      </w:r>
    </w:p>
    <w:tbl>
      <w:tblPr>
        <w:tblStyle w:val="2"/>
        <w:tblW w:w="961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3"/>
        <w:gridCol w:w="4260"/>
        <w:gridCol w:w="3340"/>
        <w:gridCol w:w="135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bidi="ar"/>
              </w:rPr>
              <w:t>共同体名称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bidi="ar"/>
              </w:rPr>
              <w:t>建设主体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bidi="ar"/>
              </w:rPr>
              <w:t>推荐部门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山东省生物技术与制造创新创业共同体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省黄河三角洲农业高新技术产业示范区管委会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东营市人民政府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山东省绿色产业与环境安全创新创业共同体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省环境保护科学研究设计院有限公司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省生态环境厅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山东省科技特派员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  <w:t>农业产业技术成果转化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创新创业共同体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山东省农业科学院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济南市人民政府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山东省数字融合出版创新创业共同体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山东出版集团有限公司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省委宣传部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山东省工业互联网创新创业共同体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海尔卡奥斯物联生态科技有限公司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青岛市人民政府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山东省体育健康产业创新创业共同体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泰山体育产业集团有限公司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德州市人民政府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山东省轴承智能制造创新创业共同体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智创未来轴承科技园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聊城市人民政府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bidi="ar"/>
              </w:rPr>
              <w:t>山东省先进复合材料创新创业共同体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山东省产业技术研究院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济南市人民政府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9377C"/>
    <w:rsid w:val="5F09377C"/>
    <w:rsid w:val="613D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2020-12-29T10:57:00Z</dcterms:created>
  <dc:creator>10795</dc:creator>
  <cp:lastModifiedBy>10795</cp:lastModifiedBy>
  <dcterms:modified xsi:type="dcterms:W3CDTF">2020-12-29T10:58:18Z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