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spacing w:after="289" w:afterLines="50" w:line="580" w:lineRule="exact"/>
        <w:ind w:firstLine="880" w:firstLineChars="200"/>
        <w:jc w:val="center"/>
        <w:rPr>
          <w:rFonts w:ascii="黑体" w:hAnsi="黑体" w:eastAsia="黑体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第三批省级创新创业共同体名单</w:t>
      </w:r>
    </w:p>
    <w:tbl>
      <w:tblPr>
        <w:tblStyle w:val="2"/>
        <w:tblW w:w="96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3"/>
        <w:gridCol w:w="4260"/>
        <w:gridCol w:w="3340"/>
        <w:gridCol w:w="13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bidi="ar"/>
              </w:rPr>
              <w:t>共同体名称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bidi="ar"/>
              </w:rPr>
              <w:t>建设主体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bidi="ar"/>
              </w:rPr>
              <w:t>推荐部门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山东省生物技术与制造创新创业共同体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省黄河三角洲农业高新技术产业示范区管委会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东营市人民政府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山东省绿色产业与环境安全创新创业共同体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省环境保护科学研究设计院有限公司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省生态环境厅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山东省科技特派员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农业产业技术成果转化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创新创业共同体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山东省农业科学院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济南市人民政府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山东省数字融合出版创新创业共同体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山东出版集团有限公司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省委宣传部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山东省工业互联网创新创业共同体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海尔卡奥斯物联生态科技有限公司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青岛市人民政府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山东省体育健康产业创新创业共同体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泰山体育产业集团有限公司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德州市人民政府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山东省轴承智能制造创新创业共同体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智创未来轴承科技园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聊城市人民政府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山东省先进复合材料创新创业共同体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山东省产业技术研究院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济南市人民政府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9377C"/>
    <w:rsid w:val="5F09377C"/>
    <w:rsid w:val="613D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2020-12-29T10:57:00Z</dcterms:created>
  <dc:creator>10795</dc:creator>
  <cp:lastModifiedBy>10795</cp:lastModifiedBy>
  <dcterms:modified xsi:type="dcterms:W3CDTF">2020-12-29T10:58:18Z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