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32"/>
          <w:szCs w:val="32"/>
        </w:rPr>
        <w:t>高新技术企业工作分析报告（提纲）</w:t>
      </w:r>
      <w:bookmarkStart w:id="0" w:name="_GoBack"/>
      <w:bookmarkEnd w:id="0"/>
    </w:p>
    <w:p>
      <w:pPr>
        <w:spacing w:line="580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spacing w:line="580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一、高新技术企业申报数量预测</w:t>
      </w:r>
    </w:p>
    <w:p>
      <w:pPr>
        <w:spacing w:line="58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按照区县梳理全市近注册工商企业数量及行业分布比例、有研发活动企业数量及行业分布情况，结合本地产业发发展态势，预估本市高新技术企业申报数量，结合本地产业发展规划，大体测算近2-3年高新技术企业申报数量。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二、高企诊疗服务工作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根据各市、县科技部门掌握的情况，重点列出今年高企有效期到期后不再重新认定的企业名单，详细说明具体原因，协调当地创新创业共同体等服务载体，有针对性地开展诊断分析、对接服务等工作。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企业名称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未能申报原因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对接服务载体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拟采取的措施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三、本市高企培育发展中存在的主要问题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四、对高企培育工作的有关建议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A6F21"/>
    <w:rsid w:val="0C0A6F21"/>
    <w:rsid w:val="310C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2020-07-22T11:28:00Z</dcterms:created>
  <dc:creator>远望之光</dc:creator>
  <cp:lastModifiedBy>远望之光</cp:lastModifiedBy>
  <dcterms:modified xsi:type="dcterms:W3CDTF">2020-07-22T11:29:25Z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