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山东省科学技术厅2021年政府信息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公开工作年度报告</w:t>
      </w:r>
    </w:p>
    <w:bookmarkEnd w:id="0"/>
    <w:p>
      <w:pPr>
        <w:pStyle w:val="2"/>
        <w:rPr>
          <w:rFonts w:hint="eastAsia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本年度报告由山东省科学技术厅根据《政府信息公开条例》以及山东省政府办公厅要求编制而成。全文内容包括总体情况、主动公开、依申请公开、政府信息管理、平台建设、其他需要报告的事项等。本年度报告中所列数据统计期限从2021年1月1日起至2021年12月31日止。本年度报告电子版可从山东省科技厅门户网站（kjt.shandong.gov.cn）下载。如对本报告有疑问，请与山东省科技厅办公室联系（地址：济南市舜华路607号，邮编：250101，电话：0531-51751026，传真：0531-51751112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3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一、总体情况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2021年，省科技厅以习近平新时代中国特色社会主义思想为指导，深入学习贯彻党的十九大、十九届历次全会精神以及习近平总书记对山东“走在前列、全面开创”“三个走在前”的重要指示要求，落实国家创新驱动发展战略和省委省政府“七个走在前列”“九个强省突破”“保五争三奔第一”“事争一流、唯旗是夺”部署，着力抓好《政府信息公开条例》贯彻落实和配套制度建设，紧紧围绕创新型省份建设、统筹疫情防控和创新发展等重点工作及广大科技人员关注关切，加强科技政策发布和解读，持续提升公开质量和治理效能，取得积极成效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（一）主动公开情况。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按照以“公开为原则，不公开为例外”的要求，加强制度建设。对机构职能、领导信息、政策文件、权责清单、财政预决算、公务员考录、应急管理等信息都按要求及时进行了公开。2021年厅门户网站主动公开各类信息1520件，“山东科技”微信公众号群发推送339次，累计发布信息1624条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center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drawing>
          <wp:inline distT="0" distB="0" distL="114300" distR="114300">
            <wp:extent cx="4762500" cy="2781300"/>
            <wp:effectExtent l="0" t="0" r="7620" b="7620"/>
            <wp:docPr id="1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（二）依申请公开情况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2021年，省科技厅收到依申请公开数量为13项，按时答复数量为13项；通过省政务服务网收到依申请公开数量为11项，按时答复数量为11项；按时办结率为100 %。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（三）加强政府信息管理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一是进一步完善新闻发布工作机制。对出台的重要政策文件，更加注重通过新闻发布会等方式进行解读，并对科技人员、市场主体和媒体关注度高的内容要跟进解读，积极营造良好创新氛围。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二是搭建好政府与公众交流的“直通车”。2021年厅门户网站累计访问量超过 657万人次，及时主动回应社会关切，及时受理、解答群众诉求。2021年以来线上回复网友互动提问259次，办理网上互动问答198次、“接诉即办”71次、政务服务热线110次、监督投诉18次、厅长信箱31次、依申请公开12个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center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drawing>
          <wp:inline distT="0" distB="0" distL="114300" distR="114300">
            <wp:extent cx="4762500" cy="3562350"/>
            <wp:effectExtent l="0" t="0" r="7620" b="3810"/>
            <wp:docPr id="4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三是切实做好政策解读。在政策出台、重点工作推进、重大事件发生时，组织相关处室、单位履行好信息发布、权威定调、自觉把关等职责，通过发表署名文章、接受媒体采访等方式带头解读政策，主动引导预期。2021年以来，厅领导带头解读政策8件，召开新闻通气会3场，不断创新解读形式，多角度解读科技政策25件。开设科技政策云讲堂，采取“录播+线上现场互动+后期问题反馈”方式，为科技型中小企业创新发展提供服务，共组织培训5期，在线学习2万人次。拓宽政务公开服务载体，充分整合报纸、电台、电视、网络等媒介资源，实现了政府信息多渠道、全方位的公开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center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drawing>
          <wp:inline distT="0" distB="0" distL="114300" distR="114300">
            <wp:extent cx="4762500" cy="3352800"/>
            <wp:effectExtent l="0" t="0" r="7620" b="0"/>
            <wp:docPr id="2" name="图片 3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center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drawing>
          <wp:inline distT="0" distB="0" distL="114300" distR="114300">
            <wp:extent cx="4762500" cy="6953250"/>
            <wp:effectExtent l="0" t="0" r="7620" b="11430"/>
            <wp:docPr id="6" name="图片 4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center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drawing>
          <wp:inline distT="0" distB="0" distL="114300" distR="114300">
            <wp:extent cx="4762500" cy="4752975"/>
            <wp:effectExtent l="0" t="0" r="7620" b="1905"/>
            <wp:docPr id="3" name="图片 5" descr="IMG_26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（四）加强公开平台建设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精心打造“山东科技”微信公众号和厅网站，构筑内容特色，提升内容品质，在新媒体环境下成功吸引大批科技人员粉丝，树立了媒体融合发展品牌。开设科技政策云讲堂，采取“录播+线上现场互动+后期问题反馈”方式，为科技型中小企业创新发展提供服务。拓宽政务公开服务载体，充分整合报纸、电台、电视、网络等媒介资源，实现了政府信息多渠道、全方位的公开。目前，“山东科技”微信号粉丝超5万人，成为全省科技领域最有影响力的新媒体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依托科技云平台，优化各项科技业务办理流程和要素，并形成相关标准和规范，建设“一站式”业务办理平台，推动“互联网+政务”不断迈上新台阶。开设统一的在线办事入口，便利企业和群众进行“一号通办”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（五）监督保障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不断加强制度建设，健全体制机制。成立政务公开工作领导小组，厅主要负责人担任组长，厅分管领导亲自抓、办公室组织协调、各处室、单位大力配合的工作机制更加完善。明确并公开了政务公开工作负责机构是厅办公室，有专职人员专门负责政务公开工作，专职人员4人。印发《省科技厅2021年政务公开工作培训计划》《省科技厅2021年政务公开工作实施方案》等文件，组织有关负责同志及相关工作人员参加2021年全省政务公开工作推进暨培训会，在全厅及各处室、单位组织召开2021年政务公开工作培训会。围绕政务工作程序、考核评价、发布协调等关键环节，制定了一系列规章制度，绘制工作流程图，形成完善的政务公开工作监督保障制度体系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3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二、主动公开政府信息情况</w:t>
      </w:r>
    </w:p>
    <w:tbl>
      <w:tblPr>
        <w:tblW w:w="8704" w:type="dxa"/>
        <w:jc w:val="center"/>
        <w:tblCellSpacing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37"/>
        <w:gridCol w:w="1764"/>
        <w:gridCol w:w="1764"/>
        <w:gridCol w:w="273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87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C6D9F1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第二十条第（一）项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24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信息内容</w:t>
            </w:r>
          </w:p>
        </w:tc>
        <w:tc>
          <w:tcPr>
            <w:tcW w:w="1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本年制发件数</w:t>
            </w:r>
          </w:p>
        </w:tc>
        <w:tc>
          <w:tcPr>
            <w:tcW w:w="1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本年废止件数</w:t>
            </w:r>
          </w:p>
        </w:tc>
        <w:tc>
          <w:tcPr>
            <w:tcW w:w="2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现行有效件数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24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规章</w:t>
            </w:r>
          </w:p>
        </w:tc>
        <w:tc>
          <w:tcPr>
            <w:tcW w:w="1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2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24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行政规范性文件</w:t>
            </w:r>
          </w:p>
        </w:tc>
        <w:tc>
          <w:tcPr>
            <w:tcW w:w="1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11</w:t>
            </w:r>
          </w:p>
        </w:tc>
        <w:tc>
          <w:tcPr>
            <w:tcW w:w="1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7</w:t>
            </w:r>
          </w:p>
        </w:tc>
        <w:tc>
          <w:tcPr>
            <w:tcW w:w="2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8704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C6D9F1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第二十条第（五）项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24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信息内容</w:t>
            </w:r>
          </w:p>
        </w:tc>
        <w:tc>
          <w:tcPr>
            <w:tcW w:w="626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本年处理决定数量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24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行政许可</w:t>
            </w:r>
          </w:p>
        </w:tc>
        <w:tc>
          <w:tcPr>
            <w:tcW w:w="6267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8704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C6D9F1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第二十条第（六）项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24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信息内容</w:t>
            </w:r>
          </w:p>
        </w:tc>
        <w:tc>
          <w:tcPr>
            <w:tcW w:w="626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本年处理决定数量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24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行政处罚</w:t>
            </w:r>
          </w:p>
        </w:tc>
        <w:tc>
          <w:tcPr>
            <w:tcW w:w="6267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24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行政强制</w:t>
            </w:r>
          </w:p>
        </w:tc>
        <w:tc>
          <w:tcPr>
            <w:tcW w:w="6267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8704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C6D9F1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第二十条第（八）项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24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信息内容</w:t>
            </w:r>
          </w:p>
        </w:tc>
        <w:tc>
          <w:tcPr>
            <w:tcW w:w="626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本年收费金额（单位：万元）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tblCellSpacing w:w="0" w:type="dxa"/>
          <w:jc w:val="center"/>
        </w:trPr>
        <w:tc>
          <w:tcPr>
            <w:tcW w:w="24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行政事业性收费</w:t>
            </w:r>
          </w:p>
        </w:tc>
        <w:tc>
          <w:tcPr>
            <w:tcW w:w="6267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9.652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3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三、收到和处理政府信息公开申请情况</w:t>
      </w:r>
    </w:p>
    <w:tbl>
      <w:tblPr>
        <w:tblW w:w="8610" w:type="dxa"/>
        <w:jc w:val="center"/>
        <w:tblCellSpacing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12"/>
        <w:gridCol w:w="1294"/>
        <w:gridCol w:w="1927"/>
        <w:gridCol w:w="615"/>
        <w:gridCol w:w="508"/>
        <w:gridCol w:w="508"/>
        <w:gridCol w:w="564"/>
        <w:gridCol w:w="547"/>
        <w:gridCol w:w="508"/>
        <w:gridCol w:w="927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  <w:tblCellSpacing w:w="0" w:type="dxa"/>
          <w:jc w:val="center"/>
        </w:trPr>
        <w:tc>
          <w:tcPr>
            <w:tcW w:w="443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（本列数据的勾稽关系为：第一项加第二项之和，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等于第三项加第四项之和）</w:t>
            </w:r>
          </w:p>
        </w:tc>
        <w:tc>
          <w:tcPr>
            <w:tcW w:w="417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  <w:tblCellSpacing w:w="0" w:type="dxa"/>
          <w:jc w:val="center"/>
        </w:trPr>
        <w:tc>
          <w:tcPr>
            <w:tcW w:w="443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6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自然人</w:t>
            </w:r>
          </w:p>
        </w:tc>
        <w:tc>
          <w:tcPr>
            <w:tcW w:w="263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法人或其他组织</w:t>
            </w:r>
          </w:p>
        </w:tc>
        <w:tc>
          <w:tcPr>
            <w:tcW w:w="92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  <w:tblCellSpacing w:w="0" w:type="dxa"/>
          <w:jc w:val="center"/>
        </w:trPr>
        <w:tc>
          <w:tcPr>
            <w:tcW w:w="443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6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商业企业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科研机构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社会公益组织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法律服务机构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其他</w:t>
            </w:r>
          </w:p>
        </w:tc>
        <w:tc>
          <w:tcPr>
            <w:tcW w:w="9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" w:hRule="atLeast"/>
          <w:tblCellSpacing w:w="0" w:type="dxa"/>
          <w:jc w:val="center"/>
        </w:trPr>
        <w:tc>
          <w:tcPr>
            <w:tcW w:w="44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一、本年新收政府信息公开申请数量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13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13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" w:hRule="atLeast"/>
          <w:tblCellSpacing w:w="0" w:type="dxa"/>
          <w:jc w:val="center"/>
        </w:trPr>
        <w:tc>
          <w:tcPr>
            <w:tcW w:w="44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二、上年结转政府信息公开申请数量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2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三、本年度办理结果</w:t>
            </w:r>
          </w:p>
        </w:tc>
        <w:tc>
          <w:tcPr>
            <w:tcW w:w="32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（一）予以公开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12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12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32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（二）部分公开（区分处理的，只计这一情形，不计其他情形）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（三）不予公开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1.属于国家秘密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2.其他法律行政法规禁止公开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3.危及“三安全一稳定”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4.保护第三方合法权益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5.属于三类内部事务信息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6.属于四类过程性信息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7.属于行政执法案卷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8.属于行政查询事项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（四）无法提供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1.本机关不掌握相关政府信息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1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2.没有现成信息需要另行制作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3.补正后申请内容仍不明确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（五）不予处理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1.信访举报投诉类申请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2.重复申请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3.要求提供公开出版物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4.无正当理由大量反复申请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5.要求行政机关确认或重新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出具已获取信息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（六）其他处理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1.申请人无正当理由逾期不补正、行政机关不再处理其政府信息公开申请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2.申请人逾期未按收费通知要求缴纳费用、行政机关不再处理其政府信息公开申请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3.其他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2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32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（七）总计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13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13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44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四、结转下年度继续办理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3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四、政府信息公开行政复议、行政诉讼情况</w:t>
      </w:r>
    </w:p>
    <w:tbl>
      <w:tblPr>
        <w:tblW w:w="8323" w:type="dxa"/>
        <w:jc w:val="center"/>
        <w:tblCellSpacing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70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779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tblCellSpacing w:w="0" w:type="dxa"/>
          <w:jc w:val="center"/>
        </w:trPr>
        <w:tc>
          <w:tcPr>
            <w:tcW w:w="306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行政复议</w:t>
            </w:r>
          </w:p>
        </w:tc>
        <w:tc>
          <w:tcPr>
            <w:tcW w:w="526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  <w:tblCellSpacing w:w="0" w:type="dxa"/>
          <w:jc w:val="center"/>
        </w:trPr>
        <w:tc>
          <w:tcPr>
            <w:tcW w:w="107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结果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维持</w:t>
            </w:r>
          </w:p>
        </w:tc>
        <w:tc>
          <w:tcPr>
            <w:tcW w:w="498" w:type="dxa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结果纠正</w:t>
            </w:r>
          </w:p>
        </w:tc>
        <w:tc>
          <w:tcPr>
            <w:tcW w:w="498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其他结果</w:t>
            </w:r>
          </w:p>
        </w:tc>
        <w:tc>
          <w:tcPr>
            <w:tcW w:w="498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尚未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审结</w:t>
            </w:r>
          </w:p>
        </w:tc>
        <w:tc>
          <w:tcPr>
            <w:tcW w:w="498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总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计</w:t>
            </w:r>
          </w:p>
        </w:tc>
        <w:tc>
          <w:tcPr>
            <w:tcW w:w="249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未经复议直接起诉</w:t>
            </w:r>
          </w:p>
        </w:tc>
        <w:tc>
          <w:tcPr>
            <w:tcW w:w="277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tblCellSpacing w:w="0" w:type="dxa"/>
          <w:jc w:val="center"/>
        </w:trPr>
        <w:tc>
          <w:tcPr>
            <w:tcW w:w="107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498" w:type="dxa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498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498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498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结果维持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结果纠正</w:t>
            </w:r>
          </w:p>
        </w:tc>
        <w:tc>
          <w:tcPr>
            <w:tcW w:w="4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其他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结果</w:t>
            </w:r>
          </w:p>
        </w:tc>
        <w:tc>
          <w:tcPr>
            <w:tcW w:w="4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尚未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审结</w:t>
            </w:r>
          </w:p>
        </w:tc>
        <w:tc>
          <w:tcPr>
            <w:tcW w:w="4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总计</w:t>
            </w:r>
          </w:p>
        </w:tc>
        <w:tc>
          <w:tcPr>
            <w:tcW w:w="4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结果维持</w:t>
            </w:r>
          </w:p>
        </w:tc>
        <w:tc>
          <w:tcPr>
            <w:tcW w:w="4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结果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纠正</w:t>
            </w:r>
          </w:p>
        </w:tc>
        <w:tc>
          <w:tcPr>
            <w:tcW w:w="4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其他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结果</w:t>
            </w:r>
          </w:p>
        </w:tc>
        <w:tc>
          <w:tcPr>
            <w:tcW w:w="4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尚未审结</w:t>
            </w:r>
          </w:p>
        </w:tc>
        <w:tc>
          <w:tcPr>
            <w:tcW w:w="7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tcMar>
              <w:left w:w="84" w:type="dxa"/>
              <w:right w:w="84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textAlignment w:val="auto"/>
              <w:rPr>
                <w:rFonts w:hint="eastAsia" w:ascii="仿宋" w:hAnsi="仿宋" w:eastAsia="仿宋" w:cs="仿宋"/>
                <w:color w:val="333333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333333"/>
                <w:sz w:val="32"/>
                <w:szCs w:val="32"/>
                <w:bdr w:val="none" w:color="auto" w:sz="0" w:space="0"/>
              </w:rPr>
              <w:t>0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3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五、存在的主要问题及改进情况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2021年省科技厅政府信息公开工作取得了新成效，但还存在以下问题：一是政府信息公开工作的意识和能力需进一步提高。二是行政决策公众参与机制有待于进一步建立健全。三是政策解读力度需进一步增强。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在推进政府信息公开工作中，对政府信息公开年度报告中所提的问题将进行有针对性的整改。一是建立健全行政决策公众参与机制，增强公众参与度，打造阳光政府。二是加强舆论引导，主动回应科技领域热点问题，营造良好舆论环境。三是针对解读力度不够的问题，着重对重要政策、重点事项进展成效进行发布解读，加强图文解读，丰富发布形式，提高公开效率与质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3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六、其他需要报告的事项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（一）收取信息处理费的情况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2021年度，本机关未收取政府信息公开信息处理费。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（二）落实上级年度政务公开工作要点情况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按照《国务院办公厅关于印发2021年政务公开工作要点的通知》（国办发〔2021〕12号）和《山东省人民政府办公厅关于印发2021年山东省政务公开工作要点的通知》（鲁政办发〔2021〕5号），本机关结合工作实际，制定《山东省科技厅2021年政务公开工作实施方案》，进一步细化了任务要求，明确各处室的责任分工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（三）人大代表建议和政协委员提案办理结果公开情况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2021年，省科技厅共承办省人大代表建议75件，所有建议均已按时答复完毕，答复率100%。2021年，省科技厅共承办政协提案83件，所有提案均已按时答复完毕，答复率100%。除涉及国家涉密、工作秘密的，办理结果均在厅门户网站政府信息公开专栏“建议提案公开”子栏目中进行公开，同时定期发布总体办理情况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（四）政务公开工作创新情况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</w:rPr>
        <w:t>策划推出“科技创新正青春”人物系列短视频，网友反响热烈；策划打造“科技政策云讲堂”，网上采取“录播+线上现场互动+后期问题反馈”形式，视频点播超2万次；结合职能组建科技志愿服务队，深入科技型企业结对帮扶，开展政务公开，送政策，送服务，解难题、办实事；在科技大厦设立电子屏幕，滚动播出重点工作进展情况，成为政务公开新途径，有效推动各项工作落实；策划制作系列科技政策宣传手册，内容贴近，形式生动，受到一线科研工作者和科技企业的一致好评。全年组织开展“政府开放日”活动5次，“政府开放周”活动1次，“政府开放月”活动1次。充分整合报纸、电台、电视、网络等媒介资源，实现了政府信息多渠道、全方位的公开。全年在省级以上媒体或平台信息采纳包括，科技部网站采纳信息81条，《央视新闻联播》报道2条，科技日报刊载信息超200篇；与大众报业集团合作打造“科技山东”频道，年信息发布量超500条，在齐鲁网、闪电新闻客户端刊载信息超1198条，在山东广播电台开展热线活动45场；《山东新闻联播》播发报道64条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640" w:firstLineChars="200"/>
        <w:jc w:val="center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drawing>
          <wp:inline distT="0" distB="0" distL="114300" distR="114300">
            <wp:extent cx="4762500" cy="3562350"/>
            <wp:effectExtent l="0" t="0" r="7620" b="3810"/>
            <wp:docPr id="5" name="图片 6" descr="IMG_26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mNDZhYTFkZjczNWVjOWUxMTJkMjMxNjNiYzk1MTQifQ=="/>
  </w:docVars>
  <w:rsids>
    <w:rsidRoot w:val="00000000"/>
    <w:rsid w:val="0A3E25BF"/>
    <w:rsid w:val="2561056D"/>
    <w:rsid w:val="646F78AA"/>
    <w:rsid w:val="6DA5433C"/>
    <w:rsid w:val="6E973AD1"/>
    <w:rsid w:val="76F3631D"/>
    <w:rsid w:val="78E4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spacing w:after="0" w:line="560" w:lineRule="exact"/>
      <w:ind w:left="0" w:leftChars="0" w:firstLine="420" w:firstLineChars="200"/>
    </w:pPr>
    <w:rPr>
      <w:rFonts w:eastAsia="Times New Roman"/>
      <w:kern w:val="0"/>
      <w:sz w:val="20"/>
      <w:szCs w:val="20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://kjt.shandong.gov.cn/picture/-1/220125135150371715.png" TargetMode="External"/><Relationship Id="rId7" Type="http://schemas.openxmlformats.org/officeDocument/2006/relationships/image" Target="media/image2.png"/><Relationship Id="rId6" Type="http://schemas.openxmlformats.org/officeDocument/2006/relationships/hyperlink" Target="http://kjt.shandong.gov.cn/picture/-1/220125135150112288.png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kjt.shandong.gov.cn/picture/-1/220125135149957021.png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6.png"/><Relationship Id="rId14" Type="http://schemas.openxmlformats.org/officeDocument/2006/relationships/hyperlink" Target="http://kjt.shandong.gov.cn/picture/-1/220125135151132681.png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://kjt.shandong.gov.cn/picture/-1/220125135150875189.png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://kjt.shandong.gov.cn/picture/-1/220125135150708325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3733</Words>
  <Characters>3928</Characters>
  <Lines>0</Lines>
  <Paragraphs>0</Paragraphs>
  <TotalTime>6</TotalTime>
  <ScaleCrop>false</ScaleCrop>
  <LinksUpToDate>false</LinksUpToDate>
  <CharactersWithSpaces>3930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10500</dc:creator>
  <cp:lastModifiedBy>明卓</cp:lastModifiedBy>
  <dcterms:modified xsi:type="dcterms:W3CDTF">2022-09-15T07:13:28Z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6B6FE8A98AB34FEDA23CDEE10E6EC39D</vt:lpwstr>
  </property>
</Properties>
</file>