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山东省科学技术厅2021年政府信息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公开工作年度报告</w:t>
      </w:r>
    </w:p>
    <w:bookmarkEnd w:id="0"/>
    <w:p>
      <w:pPr>
        <w:pStyle w:val="2"/>
        <w:rPr>
          <w:rFonts w:hint="eastAsia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color w:val="333333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</w:rPr>
        <w:t>本年度报告由山东省科学技术厅根据《政府信息公开条例》以及山东省政府办公厅要求编制而成。全文内容包括总体情况、主动公开、依申请公开、政府信息管理、平台建设、其他需要报告的事项等。本年度报告中所列数据统计期限从2021年1月1日起至2021年12月31日止。本年度报告电子版可从山东省科技厅门户网站（kjt.shandong.gov.cn）下载。如对本报告有疑问，请与山东省科技厅办公室联系（地址：济南市舜华路607号，邮编：250101，电话：0531-51751026，传真：0531-51751112）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643" w:firstLineChars="200"/>
        <w:jc w:val="left"/>
        <w:textAlignment w:val="auto"/>
        <w:rPr>
          <w:rFonts w:hint="eastAsia" w:ascii="仿宋" w:hAnsi="仿宋" w:eastAsia="仿宋" w:cs="仿宋"/>
          <w:color w:val="333333"/>
          <w:sz w:val="32"/>
          <w:szCs w:val="32"/>
        </w:rPr>
      </w:pPr>
      <w:r>
        <w:rPr>
          <w:rStyle w:val="7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</w:rPr>
        <w:t>一、总体情况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color w:val="333333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</w:rPr>
        <w:t>2021年，省科技厅以习近平新时代中国特色社会主义思想为指导，深入学习贯彻党的十九大、十九届历次全会精神以及习近平总书记对山东“走在前列、全面开创”“三个走在前”的重要指示要求，落实国家创新驱动发展战略和省委省政府“七个走在前列”“九个强省突破”“保五争三奔第一”“事争一流、唯旗是夺”部署，着力抓好《政府信息公开条例》贯彻落实和配套制度建设，紧紧围绕创新型省份建设、统筹疫情防控和创新发展等重点工作及广大科技人员关注关切，加强科技政策发布和解读，持续提升公开质量和治理效能，取得积极成效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color w:val="333333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</w:rPr>
        <w:t>（一）主动公开情况。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color w:val="333333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</w:rPr>
        <w:t>按照以“公开为原则，不公开为例外”的要求，加强制度建设。对机构职能、领导信息、政策文件、权责清单、财政预决算、公务员考录、应急管理等信息都按要求及时进行了公开。2021年厅门户网站主动公开各类信息1520件，“山东科技”微信公众号群发推送339次，累计发布信息1624条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640" w:firstLineChars="200"/>
        <w:jc w:val="center"/>
        <w:textAlignment w:val="auto"/>
        <w:rPr>
          <w:rFonts w:hint="eastAsia" w:ascii="仿宋" w:hAnsi="仿宋" w:eastAsia="仿宋" w:cs="仿宋"/>
          <w:color w:val="333333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bdr w:val="none" w:color="auto" w:sz="0" w:space="0"/>
        </w:rPr>
        <w:drawing>
          <wp:inline distT="0" distB="0" distL="114300" distR="114300">
            <wp:extent cx="4762500" cy="2781300"/>
            <wp:effectExtent l="0" t="0" r="7620" b="7620"/>
            <wp:docPr id="1" name="图片 1" descr="IMG_256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color w:val="333333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</w:rPr>
        <w:t>（二）依申请公开情况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color w:val="333333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</w:rPr>
        <w:t>2021年，省科技厅收到依申请公开数量为13项，按时答复数量为13项；通过省政务服务网收到依申请公开数量为11项，按时答复数量为11项；按时办结率为100 %。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color w:val="333333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</w:rPr>
        <w:t>（三）加强政府信息管理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color w:val="333333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</w:rPr>
        <w:t>一是进一步完善新闻发布工作机制。对出台的重要政策文件，更加注重通过新闻发布会等方式进行解读，并对科技人员、市场主体和媒体关注度高的内容要跟进解读，积极营造良好创新氛围。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color w:val="333333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</w:rPr>
        <w:t>二是搭建好政府与公众交流的“直通车”。2021年厅门户网站累计访问量超过 657万人次，及时主动回应社会关切，及时受理、解答群众诉求。2021年以来线上回复网友互动提问259次，办理网上互动问答198次、“接诉即办”71次、政务服务热线110次、监督投诉18次、厅长信箱31次、依申请公开12个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640" w:firstLineChars="200"/>
        <w:jc w:val="center"/>
        <w:textAlignment w:val="auto"/>
        <w:rPr>
          <w:rFonts w:hint="eastAsia" w:ascii="仿宋" w:hAnsi="仿宋" w:eastAsia="仿宋" w:cs="仿宋"/>
          <w:color w:val="333333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bdr w:val="none" w:color="auto" w:sz="0" w:space="0"/>
        </w:rPr>
        <w:drawing>
          <wp:inline distT="0" distB="0" distL="114300" distR="114300">
            <wp:extent cx="4762500" cy="3562350"/>
            <wp:effectExtent l="0" t="0" r="7620" b="3810"/>
            <wp:docPr id="4" name="图片 2" descr="IMG_257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IMG_25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color w:val="333333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</w:rPr>
        <w:t>三是切实做好政策解读。在政策出台、重点工作推进、重大事件发生时，组织相关处室、单位履行好信息发布、权威定调、自觉把关等职责，通过发表署名文章、接受媒体采访等方式带头解读政策，主动引导预期。2021年以来，厅领导带头解读政策8件，召开新闻通气会3场，不断创新解读形式，多角度解读科技政策25件。开设科技政策云讲堂，采取“录播+线上现场互动+后期问题反馈”方式，为科技型中小企业创新发展提供服务，共组织培训5期，在线学习2万人次。拓宽政务公开服务载体，充分整合报纸、电台、电视、网络等媒介资源，实现了政府信息多渠道、全方位的公开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640" w:firstLineChars="200"/>
        <w:jc w:val="center"/>
        <w:textAlignment w:val="auto"/>
        <w:rPr>
          <w:rFonts w:hint="eastAsia" w:ascii="仿宋" w:hAnsi="仿宋" w:eastAsia="仿宋" w:cs="仿宋"/>
          <w:color w:val="333333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bdr w:val="none" w:color="auto" w:sz="0" w:space="0"/>
        </w:rPr>
        <w:drawing>
          <wp:inline distT="0" distB="0" distL="114300" distR="114300">
            <wp:extent cx="4762500" cy="3352800"/>
            <wp:effectExtent l="0" t="0" r="7620" b="0"/>
            <wp:docPr id="2" name="图片 3" descr="IMG_258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IMG_25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640" w:firstLineChars="200"/>
        <w:jc w:val="center"/>
        <w:textAlignment w:val="auto"/>
        <w:rPr>
          <w:rFonts w:hint="eastAsia" w:ascii="仿宋" w:hAnsi="仿宋" w:eastAsia="仿宋" w:cs="仿宋"/>
          <w:color w:val="333333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bdr w:val="none" w:color="auto" w:sz="0" w:space="0"/>
        </w:rPr>
        <w:drawing>
          <wp:inline distT="0" distB="0" distL="114300" distR="114300">
            <wp:extent cx="4762500" cy="6953250"/>
            <wp:effectExtent l="0" t="0" r="7620" b="11430"/>
            <wp:docPr id="6" name="图片 4" descr="IMG_259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 descr="IMG_25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69532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640" w:firstLineChars="200"/>
        <w:jc w:val="center"/>
        <w:textAlignment w:val="auto"/>
        <w:rPr>
          <w:rFonts w:hint="eastAsia" w:ascii="仿宋" w:hAnsi="仿宋" w:eastAsia="仿宋" w:cs="仿宋"/>
          <w:color w:val="333333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bdr w:val="none" w:color="auto" w:sz="0" w:space="0"/>
        </w:rPr>
        <w:drawing>
          <wp:inline distT="0" distB="0" distL="114300" distR="114300">
            <wp:extent cx="4762500" cy="4752975"/>
            <wp:effectExtent l="0" t="0" r="7620" b="1905"/>
            <wp:docPr id="3" name="图片 5" descr="IMG_260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5" descr="IMG_26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529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color w:val="333333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</w:rPr>
        <w:t>（四）加强公开平台建设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color w:val="333333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</w:rPr>
        <w:t>精心打造“山东科技”微信公众号和厅网站，构筑内容特色，提升内容品质，在新媒体环境下成功吸引大批科技人员粉丝，树立了媒体融合发展品牌。开设科技政策云讲堂，采取“录播+线上现场互动+后期问题反馈”方式，为科技型中小企业创新发展提供服务。拓宽政务公开服务载体，充分整合报纸、电台、电视、网络等媒介资源，实现了政府信息多渠道、全方位的公开。目前，“山东科技”微信号粉丝超5万人，成为全省科技领域最有影响力的新媒体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color w:val="333333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</w:rPr>
        <w:t>依托科技云平台，优化各项科技业务办理流程和要素，并形成相关标准和规范，建设“一站式”业务办理平台，推动“互联网+政务”不断迈上新台阶。开设统一的在线办事入口，便利企业和群众进行“一号通办”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color w:val="333333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</w:rPr>
        <w:t>（五）监督保障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color w:val="333333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</w:rPr>
        <w:t>不断加强制度建设，健全体制机制。成立政务公开工作领导小组，厅主要负责人担任组长，厅分管领导亲自抓、办公室组织协调、各处室、单位大力配合的工作机制更加完善。明确并公开了政务公开工作负责机构是厅办公室，有专职人员专门负责政务公开工作，专职人员4人。印发《省科技厅2021年政务公开工作培训计划》《省科技厅2021年政务公开工作实施方案》等文件，组织有关负责同志及相关工作人员参加2021年全省政务公开工作推进暨培训会，在全厅及各处室、单位组织召开2021年政务公开工作培训会。围绕政务工作程序、考核评价、发布协调等关键环节，制定了一系列规章制度，绘制工作流程图，形成完善的政务公开工作监督保障制度体系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643" w:firstLineChars="200"/>
        <w:jc w:val="left"/>
        <w:textAlignment w:val="auto"/>
        <w:rPr>
          <w:rFonts w:hint="eastAsia" w:ascii="仿宋" w:hAnsi="仿宋" w:eastAsia="仿宋" w:cs="仿宋"/>
          <w:color w:val="333333"/>
          <w:sz w:val="32"/>
          <w:szCs w:val="32"/>
        </w:rPr>
      </w:pPr>
      <w:r>
        <w:rPr>
          <w:rStyle w:val="7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</w:rPr>
        <w:t>二、主动公开政府信息情况</w:t>
      </w:r>
    </w:p>
    <w:tbl>
      <w:tblPr>
        <w:tblW w:w="8704" w:type="dxa"/>
        <w:jc w:val="center"/>
        <w:tblCellSpacing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7"/>
        <w:gridCol w:w="1764"/>
        <w:gridCol w:w="1764"/>
        <w:gridCol w:w="273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  <w:tblCellSpacing w:w="0" w:type="dxa"/>
          <w:jc w:val="center"/>
        </w:trPr>
        <w:tc>
          <w:tcPr>
            <w:tcW w:w="87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C6D9F1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  <w:tblCellSpacing w:w="0" w:type="dxa"/>
          <w:jc w:val="center"/>
        </w:trPr>
        <w:tc>
          <w:tcPr>
            <w:tcW w:w="2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信息内容</w:t>
            </w:r>
          </w:p>
        </w:tc>
        <w:tc>
          <w:tcPr>
            <w:tcW w:w="1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本年制发件数</w:t>
            </w:r>
          </w:p>
        </w:tc>
        <w:tc>
          <w:tcPr>
            <w:tcW w:w="1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本年废止件数</w:t>
            </w:r>
          </w:p>
        </w:tc>
        <w:tc>
          <w:tcPr>
            <w:tcW w:w="2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现行有效件数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  <w:tblCellSpacing w:w="0" w:type="dxa"/>
          <w:jc w:val="center"/>
        </w:trPr>
        <w:tc>
          <w:tcPr>
            <w:tcW w:w="2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规章</w:t>
            </w:r>
          </w:p>
        </w:tc>
        <w:tc>
          <w:tcPr>
            <w:tcW w:w="1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1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2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  <w:tblCellSpacing w:w="0" w:type="dxa"/>
          <w:jc w:val="center"/>
        </w:trPr>
        <w:tc>
          <w:tcPr>
            <w:tcW w:w="2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行政规范性文件</w:t>
            </w:r>
          </w:p>
        </w:tc>
        <w:tc>
          <w:tcPr>
            <w:tcW w:w="1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11</w:t>
            </w:r>
          </w:p>
        </w:tc>
        <w:tc>
          <w:tcPr>
            <w:tcW w:w="1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7</w:t>
            </w:r>
          </w:p>
        </w:tc>
        <w:tc>
          <w:tcPr>
            <w:tcW w:w="2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  <w:tblCellSpacing w:w="0" w:type="dxa"/>
          <w:jc w:val="center"/>
        </w:trPr>
        <w:tc>
          <w:tcPr>
            <w:tcW w:w="8704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C6D9F1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  <w:tblCellSpacing w:w="0" w:type="dxa"/>
          <w:jc w:val="center"/>
        </w:trPr>
        <w:tc>
          <w:tcPr>
            <w:tcW w:w="2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信息内容</w:t>
            </w:r>
          </w:p>
        </w:tc>
        <w:tc>
          <w:tcPr>
            <w:tcW w:w="626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  <w:tblCellSpacing w:w="0" w:type="dxa"/>
          <w:jc w:val="center"/>
        </w:trPr>
        <w:tc>
          <w:tcPr>
            <w:tcW w:w="2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行政许可</w:t>
            </w:r>
          </w:p>
        </w:tc>
        <w:tc>
          <w:tcPr>
            <w:tcW w:w="6267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  <w:tblCellSpacing w:w="0" w:type="dxa"/>
          <w:jc w:val="center"/>
        </w:trPr>
        <w:tc>
          <w:tcPr>
            <w:tcW w:w="8704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C6D9F1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  <w:tblCellSpacing w:w="0" w:type="dxa"/>
          <w:jc w:val="center"/>
        </w:trPr>
        <w:tc>
          <w:tcPr>
            <w:tcW w:w="2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信息内容</w:t>
            </w:r>
          </w:p>
        </w:tc>
        <w:tc>
          <w:tcPr>
            <w:tcW w:w="626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  <w:tblCellSpacing w:w="0" w:type="dxa"/>
          <w:jc w:val="center"/>
        </w:trPr>
        <w:tc>
          <w:tcPr>
            <w:tcW w:w="2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行政处罚</w:t>
            </w:r>
          </w:p>
        </w:tc>
        <w:tc>
          <w:tcPr>
            <w:tcW w:w="6267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  <w:tblCellSpacing w:w="0" w:type="dxa"/>
          <w:jc w:val="center"/>
        </w:trPr>
        <w:tc>
          <w:tcPr>
            <w:tcW w:w="2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行政强制</w:t>
            </w:r>
          </w:p>
        </w:tc>
        <w:tc>
          <w:tcPr>
            <w:tcW w:w="6267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  <w:tblCellSpacing w:w="0" w:type="dxa"/>
          <w:jc w:val="center"/>
        </w:trPr>
        <w:tc>
          <w:tcPr>
            <w:tcW w:w="8704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C6D9F1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  <w:tblCellSpacing w:w="0" w:type="dxa"/>
          <w:jc w:val="center"/>
        </w:trPr>
        <w:tc>
          <w:tcPr>
            <w:tcW w:w="2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信息内容</w:t>
            </w:r>
          </w:p>
        </w:tc>
        <w:tc>
          <w:tcPr>
            <w:tcW w:w="626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本年收费金额（单位：万元）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  <w:tblCellSpacing w:w="0" w:type="dxa"/>
          <w:jc w:val="center"/>
        </w:trPr>
        <w:tc>
          <w:tcPr>
            <w:tcW w:w="2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行政事业性收费</w:t>
            </w:r>
          </w:p>
        </w:tc>
        <w:tc>
          <w:tcPr>
            <w:tcW w:w="6267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9.652</w:t>
            </w:r>
          </w:p>
        </w:tc>
      </w:tr>
    </w:tbl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643" w:firstLineChars="200"/>
        <w:jc w:val="left"/>
        <w:textAlignment w:val="auto"/>
        <w:rPr>
          <w:rFonts w:hint="eastAsia" w:ascii="仿宋" w:hAnsi="仿宋" w:eastAsia="仿宋" w:cs="仿宋"/>
          <w:color w:val="333333"/>
          <w:sz w:val="32"/>
          <w:szCs w:val="32"/>
        </w:rPr>
      </w:pPr>
      <w:r>
        <w:rPr>
          <w:rStyle w:val="7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</w:rPr>
        <w:t>三、收到和处理政府信息公开申请情况</w:t>
      </w:r>
    </w:p>
    <w:tbl>
      <w:tblPr>
        <w:tblW w:w="8610" w:type="dxa"/>
        <w:jc w:val="center"/>
        <w:tblCellSpacing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12"/>
        <w:gridCol w:w="1294"/>
        <w:gridCol w:w="1927"/>
        <w:gridCol w:w="615"/>
        <w:gridCol w:w="508"/>
        <w:gridCol w:w="508"/>
        <w:gridCol w:w="564"/>
        <w:gridCol w:w="547"/>
        <w:gridCol w:w="508"/>
        <w:gridCol w:w="92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  <w:tblCellSpacing w:w="0" w:type="dxa"/>
          <w:jc w:val="center"/>
        </w:trPr>
        <w:tc>
          <w:tcPr>
            <w:tcW w:w="443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（本列数据的勾稽关系为：第一项加第二项之和，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等于第三项加第四项之和）</w:t>
            </w:r>
          </w:p>
        </w:tc>
        <w:tc>
          <w:tcPr>
            <w:tcW w:w="417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  <w:tblCellSpacing w:w="0" w:type="dxa"/>
          <w:jc w:val="center"/>
        </w:trPr>
        <w:tc>
          <w:tcPr>
            <w:tcW w:w="443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6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自然人</w:t>
            </w:r>
          </w:p>
        </w:tc>
        <w:tc>
          <w:tcPr>
            <w:tcW w:w="26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法人或其他组织</w:t>
            </w:r>
          </w:p>
        </w:tc>
        <w:tc>
          <w:tcPr>
            <w:tcW w:w="9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tblCellSpacing w:w="0" w:type="dxa"/>
          <w:jc w:val="center"/>
        </w:trPr>
        <w:tc>
          <w:tcPr>
            <w:tcW w:w="443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6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商业企业</w:t>
            </w:r>
          </w:p>
        </w:tc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科研机构</w:t>
            </w: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社会公益组织</w:t>
            </w:r>
          </w:p>
        </w:tc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法律服务机构</w:t>
            </w:r>
          </w:p>
        </w:tc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其他</w:t>
            </w:r>
          </w:p>
        </w:tc>
        <w:tc>
          <w:tcPr>
            <w:tcW w:w="9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" w:hRule="atLeast"/>
          <w:tblCellSpacing w:w="0" w:type="dxa"/>
          <w:jc w:val="center"/>
        </w:trPr>
        <w:tc>
          <w:tcPr>
            <w:tcW w:w="44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一、本年新收政府信息公开申请数量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13</w:t>
            </w:r>
          </w:p>
        </w:tc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13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" w:hRule="atLeast"/>
          <w:tblCellSpacing w:w="0" w:type="dxa"/>
          <w:jc w:val="center"/>
        </w:trPr>
        <w:tc>
          <w:tcPr>
            <w:tcW w:w="44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二、上年结转政府信息公开申请数量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2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三、本年度办理结果</w:t>
            </w:r>
          </w:p>
        </w:tc>
        <w:tc>
          <w:tcPr>
            <w:tcW w:w="32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（一）予以公开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12</w:t>
            </w:r>
          </w:p>
        </w:tc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12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2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32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（二）部分公开（区分处理的，只计这一情形，不计其他情形）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tblCellSpacing w:w="0" w:type="dxa"/>
          <w:jc w:val="center"/>
        </w:trPr>
        <w:tc>
          <w:tcPr>
            <w:tcW w:w="12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2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（三）不予公开</w:t>
            </w: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1.属于国家秘密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tblCellSpacing w:w="0" w:type="dxa"/>
          <w:jc w:val="center"/>
        </w:trPr>
        <w:tc>
          <w:tcPr>
            <w:tcW w:w="12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2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2.其他法律行政法规禁止公开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tblCellSpacing w:w="0" w:type="dxa"/>
          <w:jc w:val="center"/>
        </w:trPr>
        <w:tc>
          <w:tcPr>
            <w:tcW w:w="12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2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3.危及“三安全一稳定”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tblCellSpacing w:w="0" w:type="dxa"/>
          <w:jc w:val="center"/>
        </w:trPr>
        <w:tc>
          <w:tcPr>
            <w:tcW w:w="12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2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4.保护第三方合法权益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tblCellSpacing w:w="0" w:type="dxa"/>
          <w:jc w:val="center"/>
        </w:trPr>
        <w:tc>
          <w:tcPr>
            <w:tcW w:w="12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2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5.属于三类内部事务信息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tblCellSpacing w:w="0" w:type="dxa"/>
          <w:jc w:val="center"/>
        </w:trPr>
        <w:tc>
          <w:tcPr>
            <w:tcW w:w="12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2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6.属于四类过程性信息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tblCellSpacing w:w="0" w:type="dxa"/>
          <w:jc w:val="center"/>
        </w:trPr>
        <w:tc>
          <w:tcPr>
            <w:tcW w:w="12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2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7.属于行政执法案卷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tblCellSpacing w:w="0" w:type="dxa"/>
          <w:jc w:val="center"/>
        </w:trPr>
        <w:tc>
          <w:tcPr>
            <w:tcW w:w="12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2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8.属于行政查询事项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tblCellSpacing w:w="0" w:type="dxa"/>
          <w:jc w:val="center"/>
        </w:trPr>
        <w:tc>
          <w:tcPr>
            <w:tcW w:w="12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2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（四）无法提供</w:t>
            </w: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1.本机关不掌握相关政府信息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1</w:t>
            </w:r>
          </w:p>
        </w:tc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tblCellSpacing w:w="0" w:type="dxa"/>
          <w:jc w:val="center"/>
        </w:trPr>
        <w:tc>
          <w:tcPr>
            <w:tcW w:w="12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2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2.没有现成信息需要另行制作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tblCellSpacing w:w="0" w:type="dxa"/>
          <w:jc w:val="center"/>
        </w:trPr>
        <w:tc>
          <w:tcPr>
            <w:tcW w:w="12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2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3.补正后申请内容仍不明确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tblCellSpacing w:w="0" w:type="dxa"/>
          <w:jc w:val="center"/>
        </w:trPr>
        <w:tc>
          <w:tcPr>
            <w:tcW w:w="12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2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（五）不予处理</w:t>
            </w: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1.信访举报投诉类申请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tblCellSpacing w:w="0" w:type="dxa"/>
          <w:jc w:val="center"/>
        </w:trPr>
        <w:tc>
          <w:tcPr>
            <w:tcW w:w="12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2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2.重复申请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tblCellSpacing w:w="0" w:type="dxa"/>
          <w:jc w:val="center"/>
        </w:trPr>
        <w:tc>
          <w:tcPr>
            <w:tcW w:w="12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2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3.要求提供公开出版物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tblCellSpacing w:w="0" w:type="dxa"/>
          <w:jc w:val="center"/>
        </w:trPr>
        <w:tc>
          <w:tcPr>
            <w:tcW w:w="12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2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4.无正当理由大量反复申请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2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2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5.要求行政机关确认或重新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出具已获取信息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2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2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（六）其他处理</w:t>
            </w: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1.申请人无正当理由逾期不补正、行政机关不再处理其政府信息公开申请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2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2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2.申请人逾期未按收费通知要求缴纳费用、行政机关不再处理其政府信息公开申请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2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2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3.其他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2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32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（七）总计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13</w:t>
            </w:r>
          </w:p>
        </w:tc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13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4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四、结转下年度继续办理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</w:tr>
    </w:tbl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643" w:firstLineChars="200"/>
        <w:jc w:val="left"/>
        <w:textAlignment w:val="auto"/>
        <w:rPr>
          <w:rFonts w:hint="eastAsia" w:ascii="仿宋" w:hAnsi="仿宋" w:eastAsia="仿宋" w:cs="仿宋"/>
          <w:color w:val="333333"/>
          <w:sz w:val="32"/>
          <w:szCs w:val="32"/>
        </w:rPr>
      </w:pPr>
      <w:r>
        <w:rPr>
          <w:rStyle w:val="7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</w:rPr>
        <w:t>四、政府信息公开行政复议、行政诉讼情况</w:t>
      </w:r>
    </w:p>
    <w:tbl>
      <w:tblPr>
        <w:tblW w:w="8323" w:type="dxa"/>
        <w:jc w:val="center"/>
        <w:tblCellSpacing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70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77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tblCellSpacing w:w="0" w:type="dxa"/>
          <w:jc w:val="center"/>
        </w:trPr>
        <w:tc>
          <w:tcPr>
            <w:tcW w:w="30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行政复议</w:t>
            </w:r>
          </w:p>
        </w:tc>
        <w:tc>
          <w:tcPr>
            <w:tcW w:w="5261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  <w:tblCellSpacing w:w="0" w:type="dxa"/>
          <w:jc w:val="center"/>
        </w:trPr>
        <w:tc>
          <w:tcPr>
            <w:tcW w:w="107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结果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维持</w:t>
            </w:r>
          </w:p>
        </w:tc>
        <w:tc>
          <w:tcPr>
            <w:tcW w:w="498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结果纠正</w:t>
            </w:r>
          </w:p>
        </w:tc>
        <w:tc>
          <w:tcPr>
            <w:tcW w:w="498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其他结果</w:t>
            </w:r>
          </w:p>
        </w:tc>
        <w:tc>
          <w:tcPr>
            <w:tcW w:w="498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尚未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审结</w:t>
            </w:r>
          </w:p>
        </w:tc>
        <w:tc>
          <w:tcPr>
            <w:tcW w:w="498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总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计</w:t>
            </w:r>
          </w:p>
        </w:tc>
        <w:tc>
          <w:tcPr>
            <w:tcW w:w="24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未经复议直接起诉</w:t>
            </w:r>
          </w:p>
        </w:tc>
        <w:tc>
          <w:tcPr>
            <w:tcW w:w="277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tblCellSpacing w:w="0" w:type="dxa"/>
          <w:jc w:val="center"/>
        </w:trPr>
        <w:tc>
          <w:tcPr>
            <w:tcW w:w="10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498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49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49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49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结果维持</w:t>
            </w:r>
          </w:p>
        </w:tc>
        <w:tc>
          <w:tcPr>
            <w:tcW w:w="4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结果纠正</w:t>
            </w:r>
          </w:p>
        </w:tc>
        <w:tc>
          <w:tcPr>
            <w:tcW w:w="4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其他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结果</w:t>
            </w:r>
          </w:p>
        </w:tc>
        <w:tc>
          <w:tcPr>
            <w:tcW w:w="4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尚未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审结</w:t>
            </w:r>
          </w:p>
        </w:tc>
        <w:tc>
          <w:tcPr>
            <w:tcW w:w="4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总计</w:t>
            </w:r>
          </w:p>
        </w:tc>
        <w:tc>
          <w:tcPr>
            <w:tcW w:w="4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结果维持</w:t>
            </w:r>
          </w:p>
        </w:tc>
        <w:tc>
          <w:tcPr>
            <w:tcW w:w="4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结果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纠正</w:t>
            </w:r>
          </w:p>
        </w:tc>
        <w:tc>
          <w:tcPr>
            <w:tcW w:w="4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其他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结果</w:t>
            </w:r>
          </w:p>
        </w:tc>
        <w:tc>
          <w:tcPr>
            <w:tcW w:w="4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尚未审结</w:t>
            </w:r>
          </w:p>
        </w:tc>
        <w:tc>
          <w:tcPr>
            <w:tcW w:w="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0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textAlignment w:val="auto"/>
              <w:rPr>
                <w:rFonts w:hint="eastAsia" w:ascii="仿宋" w:hAnsi="仿宋" w:eastAsia="仿宋" w:cs="仿宋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</w:tr>
    </w:tbl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643" w:firstLineChars="200"/>
        <w:jc w:val="left"/>
        <w:textAlignment w:val="auto"/>
        <w:rPr>
          <w:rFonts w:hint="eastAsia" w:ascii="仿宋" w:hAnsi="仿宋" w:eastAsia="仿宋" w:cs="仿宋"/>
          <w:color w:val="333333"/>
          <w:sz w:val="32"/>
          <w:szCs w:val="32"/>
        </w:rPr>
      </w:pPr>
      <w:r>
        <w:rPr>
          <w:rStyle w:val="7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</w:rPr>
        <w:t>五、存在的主要问题及改进情况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color w:val="333333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</w:rPr>
        <w:t>2021年省科技厅政府信息公开工作取得了新成效，但还存在以下问题：一是政府信息公开工作的意识和能力需进一步提高。二是行政决策公众参与机制有待于进一步建立健全。三是政策解读力度需进一步增强。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color w:val="333333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</w:rPr>
        <w:t>在推进政府信息公开工作中，对政府信息公开年度报告中所提的问题将进行有针对性的整改。一是建立健全行政决策公众参与机制，增强公众参与度，打造阳光政府。二是加强舆论引导，主动回应科技领域热点问题，营造良好舆论环境。三是针对解读力度不够的问题，着重对重要政策、重点事项进展成效进行发布解读，加强图文解读，丰富发布形式，提高公开效率与质量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643" w:firstLineChars="200"/>
        <w:jc w:val="left"/>
        <w:textAlignment w:val="auto"/>
        <w:rPr>
          <w:rFonts w:hint="eastAsia" w:ascii="仿宋" w:hAnsi="仿宋" w:eastAsia="仿宋" w:cs="仿宋"/>
          <w:color w:val="333333"/>
          <w:sz w:val="32"/>
          <w:szCs w:val="32"/>
        </w:rPr>
      </w:pPr>
      <w:r>
        <w:rPr>
          <w:rStyle w:val="7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</w:rPr>
        <w:t>六、其他需要报告的事项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color w:val="333333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</w:rPr>
        <w:t>（一）收取信息处理费的情况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color w:val="333333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</w:rPr>
        <w:t>2021年度，本机关未收取政府信息公开信息处理费。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color w:val="333333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</w:rPr>
        <w:t>（二）落实上级年度政务公开工作要点情况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color w:val="333333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</w:rPr>
        <w:t>按照《国务院办公厅关于印发2021年政务公开工作要点的通知》（国办发〔2021〕12号）和《山东省人民政府办公厅关于印发2021年山东省政务公开工作要点的通知》（鲁政办发〔2021〕5号），本机关结合工作实际，制定《山东省科技厅2021年政务公开工作实施方案》，进一步细化了任务要求，明确各处室的责任分工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color w:val="333333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</w:rPr>
        <w:t>（三）人大代表建议和政协委员提案办理结果公开情况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color w:val="333333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</w:rPr>
        <w:t>2021年，省科技厅共承办省人大代表建议75件，所有建议均已按时答复完毕，答复率100%。2021年，省科技厅共承办政协提案83件，所有提案均已按时答复完毕，答复率100%。除涉及国家涉密、工作秘密的，办理结果均在厅门户网站政府信息公开专栏“建议提案公开”子栏目中进行公开，同时定期发布总体办理情况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color w:val="333333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</w:rPr>
        <w:t>（四）政务公开工作创新情况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color w:val="333333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</w:rPr>
        <w:t>策划推出“科技创新正青春”人物系列短视频，网友反响热烈；策划打造“科技政策云讲堂”，网上采取“录播+线上现场互动+后期问题反馈”形式，视频点播超2万次；结合职能组建科技志愿服务队，深入科技型企业结对帮扶，开展政务公开，送政策，送服务，解难题、办实事；在科技大厦设立电子屏幕，滚动播出重点工作进展情况，成为政务公开新途径，有效推动各项工作落实；策划制作系列科技政策宣传手册，内容贴近，形式生动，受到一线科研工作者和科技企业的一致好评。全年组织开展“政府开放日”活动5次，“政府开放周”活动1次，“政府开放月”活动1次。充分整合报纸、电台、电视、网络等媒介资源，实现了政府信息多渠道、全方位的公开。全年在省级以上媒体或平台信息采纳包括，科技部网站采纳信息81条，《央视新闻联播》报道2条，科技日报刊载信息超200篇；与大众报业集团合作打造“科技山东”频道，年信息发布量超500条，在齐鲁网、闪电新闻客户端刊载信息超1198条，在山东广播电台开展热线活动45场；《山东新闻联播》播发报道64条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640" w:firstLineChars="200"/>
        <w:jc w:val="center"/>
        <w:textAlignment w:val="auto"/>
        <w:rPr>
          <w:rFonts w:hint="eastAsia" w:ascii="仿宋" w:hAnsi="仿宋" w:eastAsia="仿宋" w:cs="仿宋"/>
          <w:color w:val="333333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bdr w:val="none" w:color="auto" w:sz="0" w:space="0"/>
        </w:rPr>
        <w:drawing>
          <wp:inline distT="0" distB="0" distL="114300" distR="114300">
            <wp:extent cx="4762500" cy="3562350"/>
            <wp:effectExtent l="0" t="0" r="7620" b="3810"/>
            <wp:docPr id="5" name="图片 6" descr="IMG_261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6" descr="IMG_26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YaHei UI Light">
    <w:panose1 w:val="020B0502040204020203"/>
    <w:charset w:val="86"/>
    <w:family w:val="auto"/>
    <w:pitch w:val="default"/>
    <w:sig w:usb0="80000287" w:usb1="2ACF001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ZmNDZhYTFkZjczNWVjOWUxMTJkMjMxNjNiYzk1MTQifQ=="/>
  </w:docVars>
  <w:rsids>
    <w:rsidRoot w:val="00000000"/>
    <w:rsid w:val="0A3E25BF"/>
    <w:rsid w:val="2561056D"/>
    <w:rsid w:val="646F78AA"/>
    <w:rsid w:val="6DA5433C"/>
    <w:rsid w:val="6E973AD1"/>
    <w:rsid w:val="76F3631D"/>
    <w:rsid w:val="78E42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spacing w:after="0" w:line="560" w:lineRule="exact"/>
      <w:ind w:left="0" w:leftChars="0" w:firstLine="420" w:firstLineChars="200"/>
    </w:pPr>
    <w:rPr>
      <w:rFonts w:eastAsia="Times New Roman"/>
      <w:kern w:val="0"/>
      <w:sz w:val="20"/>
      <w:szCs w:val="20"/>
    </w:r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hyperlink" Target="http://kjt.shandong.gov.cn/picture/-1/220125135150371715.png" TargetMode="External"/><Relationship Id="rId7" Type="http://schemas.openxmlformats.org/officeDocument/2006/relationships/image" Target="media/image2.png"/><Relationship Id="rId6" Type="http://schemas.openxmlformats.org/officeDocument/2006/relationships/hyperlink" Target="http://kjt.shandong.gov.cn/picture/-1/220125135150112288.png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kjt.shandong.gov.cn/picture/-1/220125135149957021.png" TargetMode="Externa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image" Target="media/image6.png"/><Relationship Id="rId14" Type="http://schemas.openxmlformats.org/officeDocument/2006/relationships/hyperlink" Target="http://kjt.shandong.gov.cn/picture/-1/220125135151132681.png" TargetMode="External"/><Relationship Id="rId13" Type="http://schemas.openxmlformats.org/officeDocument/2006/relationships/image" Target="media/image5.png"/><Relationship Id="rId12" Type="http://schemas.openxmlformats.org/officeDocument/2006/relationships/hyperlink" Target="http://kjt.shandong.gov.cn/picture/-1/220125135150875189.png" TargetMode="External"/><Relationship Id="rId11" Type="http://schemas.openxmlformats.org/officeDocument/2006/relationships/image" Target="media/image4.png"/><Relationship Id="rId10" Type="http://schemas.openxmlformats.org/officeDocument/2006/relationships/hyperlink" Target="http://kjt.shandong.gov.cn/picture/-1/220125135150708325.png" TargetMode="Externa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3733</Words>
  <Characters>3928</Characters>
  <Lines>0</Lines>
  <Paragraphs>0</Paragraphs>
  <TotalTime>6</TotalTime>
  <ScaleCrop>false</ScaleCrop>
  <LinksUpToDate>false</LinksUpToDate>
  <CharactersWithSpaces>3930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10500</dc:creator>
  <cp:lastModifiedBy>明卓</cp:lastModifiedBy>
  <dcterms:modified xsi:type="dcterms:W3CDTF">2022-09-15T07:13:28Z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6B6FE8A98AB34FEDA23CDEE10E6EC39D</vt:lpwstr>
  </property>
</Properties>
</file>