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1DFA5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BE62271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关于《山东省省级“先拨后股”科技项目管理实施细则（征求意见稿）》等四个科技股权投资项目管理实施细则的起草说明</w:t>
      </w:r>
    </w:p>
    <w:p w14:paraId="16C402F9">
      <w:pPr>
        <w:spacing w:line="580" w:lineRule="exact"/>
      </w:pPr>
    </w:p>
    <w:p w14:paraId="78B2CD97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现将《山东省省级“先拨后股”科技项目管理实施细则（征求意见稿）》等四个科技股权投资项目管理实施细则的有关情况说明如下：</w:t>
      </w:r>
    </w:p>
    <w:p w14:paraId="79D9178F"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一、背景情况</w:t>
      </w:r>
    </w:p>
    <w:p w14:paraId="09A5A5C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为落实《山东省省级财政科技股权投资项目改革工作方案》（鲁科字〔2023〕108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建立完善覆盖科技型企业全生命周期的科技金融政策体系，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2024年5月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我厅联合相关省直部门联合印发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了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《山东省省级“拨投结合”科技项目管理实施细则》《山东省省级“先投后股”科技项目管理实施细则》（鲁科字〔2024〕42号）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，对股权类项目实施进行了规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范。实施细则运行一年来，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为完善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工作流程、股权退出机制、过程管理职责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进一步规范相关实施细则，对比先进省份经验做法，启动相关修订完善工作。</w:t>
      </w:r>
    </w:p>
    <w:p w14:paraId="622809E0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起草过程</w:t>
      </w:r>
    </w:p>
    <w:p w14:paraId="45183A90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我们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对山东省省级科技股权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细则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进行了修改完善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，主要工作内容包括：</w:t>
      </w: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修编了两个实施细则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，重点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“先投后股”和“拨投结合”类科技项目管理实施细则进行修订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新制定了两个实施细则，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之前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“股权直投”和“股权联动”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类科技项目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执行的是《山东省省级财政科技股权投资项目改革工作方案》（鲁科字〔2023〕108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），且已到期，本次属新制定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细则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三是充分论证和征求意见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前期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分别征求了省财政厅、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投资管理机构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意见建议；书面征求了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各市科技局和厅内业务处室意见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建议；邀请投融资和企业专家代表，先后召开两次座谈会征求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在认真研究基础上对相关建议予以充分吸收采纳。</w:t>
      </w:r>
    </w:p>
    <w:p w14:paraId="74644889"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</w:rPr>
        <w:t>重点修编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内容</w:t>
      </w:r>
    </w:p>
    <w:p w14:paraId="463FA51B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（一）《“先拨后股”科技项目管理实施细则》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征求意见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稿）修编情况</w:t>
      </w:r>
    </w:p>
    <w:p w14:paraId="12ADE80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1.进一步明确概念和释义，将“先投后股”命名调整为“先拨后股”。</w:t>
      </w:r>
    </w:p>
    <w:p w14:paraId="34AB51F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2.鼓励和支持将</w:t>
      </w:r>
      <w:r>
        <w:rPr>
          <w:rFonts w:hint="eastAsia" w:ascii="仿宋_GB2312" w:hAnsi="仿宋_GB2312" w:eastAsia="仿宋_GB2312" w:cs="仿宋_GB2312"/>
          <w:sz w:val="32"/>
          <w:szCs w:val="32"/>
        </w:rPr>
        <w:t>“创新积分制”和“科融信”增信评价通过的企业纳入支持对象。</w:t>
      </w:r>
    </w:p>
    <w:p w14:paraId="2B7499D8">
      <w:pPr>
        <w:pStyle w:val="2"/>
        <w:spacing w:after="0"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3.细化明确支持对象条件。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企业自研或企业与高校、科研院所合作成果转化的企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业，同时参考天津市、西安市等经验做法，明确了提出了申报时净资产原则上不低于200万元、企业上一年度营业收入未超过2000万元、创始股东实缴资金原则上不低于申报项目预期总投入的10%等支持条件。</w:t>
      </w:r>
    </w:p>
    <w:p w14:paraId="333ECBE3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4.明确转股具体条件。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  <w:t>提出了“先拨后股”转股的三个触发条件：一是省级财政资金支持后获得市场化融资且金额不低于300万元；二是省级财政资金支持期内累计实现营业收入超过5000万元；三是通过项目验收后提出转股申请且经省科技、省财政、投资管理机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none"/>
        </w:rPr>
        <w:t>同意。</w:t>
      </w:r>
    </w:p>
    <w:p w14:paraId="796E36FA">
      <w:pPr>
        <w:pStyle w:val="2"/>
        <w:spacing w:after="0"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5.明确工作职责。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省科技厅负责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审批投资管理机构提出的转股建议、</w:t>
      </w:r>
      <w:r>
        <w:rPr>
          <w:rFonts w:hint="eastAsia" w:ascii="仿宋_GB2312" w:hAnsi="仿宋_GB2312" w:eastAsia="仿宋_GB2312" w:cs="仿宋_GB2312"/>
          <w:sz w:val="32"/>
          <w:szCs w:val="32"/>
        </w:rPr>
        <w:t>投后管理重大事项（提前退股、主动发现风险情况及时止损等）。</w:t>
      </w:r>
    </w:p>
    <w:p w14:paraId="1440024B">
      <w:pPr>
        <w:pStyle w:val="2"/>
        <w:spacing w:after="0"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.明确投资管理机构投后管理职责。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项目尽调、价值评估等工作，跟踪项目进展，对达到转股条件的企业，及时核查并提出转股建议报省科技厅审批，按协议约定完成转股操作。在“后股”阶段，投资管理机构作为持股主体，负责持股管理、风险防控、股权退出、收益管理等工作。定期向省科技厅、省财政厅报送科技股权项目投资决策报告和科技股权项目管理报告。</w:t>
      </w:r>
    </w:p>
    <w:p w14:paraId="76A4B941"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.细化工作程序。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细化了协议约定，项目征集，申报与推荐，项目评审，项目立项与资金下达，项目实施与过程管理，投后管理，股权退出等环节，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明确各环节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具体要求。</w:t>
      </w:r>
    </w:p>
    <w:p w14:paraId="2863F3CB"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.增加监督管理章节。</w:t>
      </w:r>
      <w:r>
        <w:rPr>
          <w:rFonts w:ascii="Times New Roman" w:hAnsi="Times New Roman" w:eastAsia="仿宋_GB2312" w:cs="Times New Roman"/>
          <w:sz w:val="32"/>
          <w:szCs w:val="32"/>
        </w:rPr>
        <w:t>新增了项目撤销、变更、终止等事项；股权退出须经省科技厅审批，取消对提前退出项目予以收益让渡等。</w:t>
      </w:r>
    </w:p>
    <w:p w14:paraId="72B6C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《山东省省级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“拨投结合”科技项目管理实施细则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征求意见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稿）修编情况</w:t>
      </w:r>
    </w:p>
    <w:p w14:paraId="7182C8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1.明确投资期限。</w:t>
      </w:r>
      <w:r>
        <w:rPr>
          <w:rFonts w:hint="eastAsia" w:ascii="仿宋_GB2312" w:hAnsi="仿宋_GB2312" w:eastAsia="仿宋_GB2312" w:cs="仿宋_GB2312"/>
          <w:sz w:val="32"/>
          <w:szCs w:val="32"/>
        </w:rPr>
        <w:t>参股期限原则上不超过5年，最长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</w:rPr>
        <w:t>至10年。</w:t>
      </w:r>
    </w:p>
    <w:p w14:paraId="51D8E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省财政厅组织预算管理绩效评价和容错机制认定等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方面的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BB5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3.明确省科技厅职责。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预算编制及执行和预算绩效管理，组织开展项目申报、审核、立项、签约等工作，做好“拨”的部分专项资金拨付工作；对项目实施情况进行监管，组织项目验收；参与对投资管理机构的考核评价；审批投资管理机构提出的转股建议、投后管理重大事项。</w:t>
      </w:r>
    </w:p>
    <w:p w14:paraId="6EAB5E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4.明确投资管理机构职责。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项目尽调、价值评估、投资管理、风险防控、股权退出等工作，按照投资项目企业章程及股权投资协议约定实施股权管理，跟踪项目进展，参与被投资企业重大事项决策。按程序向省科技厅、省财政厅报送科技股权项目投资决策报告和科技股权项目管理报告。</w:t>
      </w:r>
    </w:p>
    <w:p w14:paraId="165FD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5.明确工作程序具体流程。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从协议约定，项目征集，申报与推荐，项目评审，尽职调查及投资谈判，确定投资计划，项目立项及资金下达，完成投资及投后管理，股权退出等流程做出明确要求。</w:t>
      </w:r>
    </w:p>
    <w:p w14:paraId="75AEB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 增加监督管理章节。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新增了项目撤销、变更、终止等事项；股权退出须经省科技厅审批，取消对提前退出项目予以收益让渡等。</w:t>
      </w:r>
    </w:p>
    <w:p w14:paraId="0236B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《山东省省级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“股权直投”科技项目管理实施细则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征求意见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稿）制定情况</w:t>
      </w:r>
    </w:p>
    <w:p w14:paraId="515DE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212318616"/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1.第一章总则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，明确了目标定位、概念释义、支持对象等内容。</w:t>
      </w:r>
    </w:p>
    <w:p w14:paraId="05FF8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2.第二章支持措施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，从支持方式、资金来源、支持标准等几个方面进行明确。</w:t>
      </w:r>
    </w:p>
    <w:p w14:paraId="6422E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3.第三章职责分工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，详细界定了省财政厅、省科技厅、设区市科技局、投资管理机构、被投资企业等职责。</w:t>
      </w:r>
    </w:p>
    <w:p w14:paraId="5CFB0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4.第四章工作程序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，明确了协议约定、项目征集、申报与推荐、项目评审、项目推荐、尽职调查与投资谈判、确定投资计划、项目立项、完成投资、投后管理、项目验收、股权退出等流程。</w:t>
      </w:r>
    </w:p>
    <w:p w14:paraId="071FC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5.第五章风险管理与保障措施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，从监督管理、绩效评价与容错机制、项目撤销变更终止、延迟投资期限、保障支持措施等方面进行细化。</w:t>
      </w:r>
    </w:p>
    <w:p w14:paraId="01975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6.第六章附则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，明确细则负责解释部门和实施日期与期限等。</w:t>
      </w:r>
    </w:p>
    <w:bookmarkEnd w:id="0"/>
    <w:p w14:paraId="5DB9A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山东省省级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“股权联动”科技项目管理实施细则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征求意见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稿）制定情况</w:t>
      </w:r>
    </w:p>
    <w:p w14:paraId="7D169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1.第一章总则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，明确了功能定位、概念释义、支持对象等内容。</w:t>
      </w:r>
    </w:p>
    <w:p w14:paraId="6732A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2.第二章支持措施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，从支持方式、资金来源、支持标准等几个方面进行明确。</w:t>
      </w:r>
    </w:p>
    <w:p w14:paraId="1CCF4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3.第三章职责分工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，详细界定了省财政厅、省科技厅、设区市科技局、投资管理机构、被投资企业等职责。</w:t>
      </w:r>
    </w:p>
    <w:p w14:paraId="57158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4.第四章工作程序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，明确了协议约定、项目征集、申报与推荐、项目评审、项目推荐、尽职调查与投资谈判、确定投资计划、组建投资主体、完成投资、投后管理、股权退出等流程。</w:t>
      </w:r>
    </w:p>
    <w:p w14:paraId="6F346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5.第五章风险管理与保障措施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，从监督管理、绩效评价与容错机制、延迟投资期限、保障支持措施等方面进行细化。</w:t>
      </w:r>
    </w:p>
    <w:p w14:paraId="26CD992B"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6.第六章附则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明确细则负责解释部门和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实施日期与期限等。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AADF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16DEB1">
                          <w:pPr>
                            <w:pStyle w:val="4"/>
                            <w:rPr>
                              <w:rFonts w:hint="default" w:ascii="Times New Roman Regular" w:hAnsi="Times New Roman Regular" w:cs="Times New Roman Regular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 Regular" w:hAnsi="Times New Roman Regular" w:cs="Times New Roman Regular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16DEB1">
                    <w:pPr>
                      <w:pStyle w:val="4"/>
                      <w:rPr>
                        <w:rFonts w:hint="default" w:ascii="Times New Roman Regular" w:hAnsi="Times New Roman Regular" w:cs="Times New Roman Regular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 Regular" w:hAnsi="Times New Roman Regular" w:cs="Times New Roman Regular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 Regular" w:hAnsi="Times New Roman Regular" w:cs="Times New Roman Regular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 Regular" w:hAnsi="Times New Roman Regular" w:cs="Times New Roman Regular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 Regular" w:hAnsi="Times New Roman Regular" w:cs="Times New Roman Regular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 Regular" w:hAnsi="Times New Roman Regular" w:cs="Times New Roman Regular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2ZDRjNjRlYjk0N2NhNWFlNjFiNGJmYjFjNmMyNWQifQ=="/>
  </w:docVars>
  <w:rsids>
    <w:rsidRoot w:val="42CD3FFE"/>
    <w:rsid w:val="00147148"/>
    <w:rsid w:val="001D3EDF"/>
    <w:rsid w:val="004A041A"/>
    <w:rsid w:val="007F5BC0"/>
    <w:rsid w:val="009B6BDB"/>
    <w:rsid w:val="00AD121E"/>
    <w:rsid w:val="00B4269C"/>
    <w:rsid w:val="42CD3FFE"/>
    <w:rsid w:val="973757A3"/>
    <w:rsid w:val="FDD5E58A"/>
    <w:rsid w:val="FFE7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szCs w:val="24"/>
      <w14:ligatures w14:val="none"/>
    </w:rPr>
  </w:style>
  <w:style w:type="paragraph" w:styleId="3">
    <w:name w:val="Title"/>
    <w:basedOn w:val="1"/>
    <w:next w:val="1"/>
    <w:qFormat/>
    <w:uiPriority w:val="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167</Words>
  <Characters>958</Characters>
  <Lines>7</Lines>
  <Paragraphs>2</Paragraphs>
  <TotalTime>6</TotalTime>
  <ScaleCrop>false</ScaleCrop>
  <LinksUpToDate>false</LinksUpToDate>
  <CharactersWithSpaces>1123</CharactersWithSpaces>
  <Application>WPS Office_6.13.1.8913_F1E327BC-269C-435d-A152-05C5408002CA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2024-11-05T00:51:00Z</dcterms:created>
  <dc:creator>Chanyelo°暖阳</dc:creator>
  <cp:lastModifiedBy>张琦</cp:lastModifiedBy>
  <dcterms:modified xsi:type="dcterms:W3CDTF">2026-04-23T17:39:45Z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2052-6.13.1.8913</vt:lpwstr>
  </property>
  <property fmtid="{D5CDD505-2E9C-101B-9397-08002B2CF9AE}" pid="3" name="ICV">
    <vt:lpwstr>9EB04E54B603416F8074E3190B5AEBFB</vt:lpwstr>
  </property>
</Properties>
</file>