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pacing w:val="8"/>
          <w:kern w:val="0"/>
          <w:sz w:val="44"/>
          <w:szCs w:val="44"/>
        </w:rPr>
        <w:t>2020年度省直重点任务公开承诺事项完成情况</w:t>
      </w:r>
      <w:bookmarkEnd w:id="0"/>
      <w:r>
        <w:rPr>
          <w:rFonts w:hint="eastAsia" w:ascii="方正小标宋简体" w:hAnsi="方正小标宋简体" w:eastAsia="方正小标宋简体" w:cs="方正小标宋简体"/>
          <w:spacing w:val="8"/>
          <w:kern w:val="0"/>
          <w:sz w:val="44"/>
          <w:szCs w:val="44"/>
        </w:rPr>
        <w:t>（省科技厅）</w:t>
      </w:r>
      <w:r>
        <w:rPr>
          <w:rFonts w:ascii="Times New Roman" w:hAnsi="Times New Roman" w:eastAsia="楷体" w:cs="Times New Roman"/>
          <w:sz w:val="28"/>
          <w:szCs w:val="28"/>
        </w:rPr>
        <w:t xml:space="preserve">                                             </w:t>
      </w:r>
    </w:p>
    <w:tbl>
      <w:tblPr>
        <w:tblStyle w:val="5"/>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496"/>
        <w:gridCol w:w="7396"/>
        <w:gridCol w:w="1037"/>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blHeader/>
        </w:trPr>
        <w:tc>
          <w:tcPr>
            <w:tcW w:w="1006" w:type="dxa"/>
            <w:vAlign w:val="center"/>
          </w:tcPr>
          <w:p>
            <w:pPr>
              <w:jc w:val="center"/>
              <w:rPr>
                <w:rFonts w:ascii="黑体" w:hAnsi="黑体" w:eastAsia="黑体" w:cs="黑体"/>
                <w:sz w:val="24"/>
              </w:rPr>
            </w:pPr>
            <w:r>
              <w:rPr>
                <w:rFonts w:hint="eastAsia" w:ascii="黑体" w:hAnsi="黑体" w:eastAsia="黑体" w:cs="黑体"/>
                <w:sz w:val="24"/>
              </w:rPr>
              <w:t>任务</w:t>
            </w:r>
          </w:p>
          <w:p>
            <w:pPr>
              <w:jc w:val="center"/>
              <w:rPr>
                <w:rFonts w:ascii="黑体" w:hAnsi="黑体" w:eastAsia="黑体" w:cs="黑体"/>
                <w:sz w:val="24"/>
              </w:rPr>
            </w:pPr>
            <w:r>
              <w:rPr>
                <w:rFonts w:hint="eastAsia" w:ascii="黑体" w:hAnsi="黑体" w:eastAsia="黑体" w:cs="黑体"/>
                <w:sz w:val="24"/>
              </w:rPr>
              <w:t>来源</w:t>
            </w:r>
          </w:p>
        </w:tc>
        <w:tc>
          <w:tcPr>
            <w:tcW w:w="2496" w:type="dxa"/>
            <w:vAlign w:val="center"/>
          </w:tcPr>
          <w:p>
            <w:pPr>
              <w:jc w:val="center"/>
              <w:rPr>
                <w:rFonts w:ascii="黑体" w:hAnsi="黑体" w:eastAsia="黑体" w:cs="黑体"/>
                <w:sz w:val="24"/>
              </w:rPr>
            </w:pPr>
            <w:r>
              <w:rPr>
                <w:rFonts w:hint="eastAsia" w:ascii="黑体" w:hAnsi="黑体" w:eastAsia="黑体" w:cs="黑体"/>
                <w:sz w:val="24"/>
              </w:rPr>
              <w:t>具体事项</w:t>
            </w:r>
          </w:p>
        </w:tc>
        <w:tc>
          <w:tcPr>
            <w:tcW w:w="7396" w:type="dxa"/>
            <w:vAlign w:val="center"/>
          </w:tcPr>
          <w:p>
            <w:pPr>
              <w:jc w:val="center"/>
              <w:rPr>
                <w:rFonts w:ascii="黑体" w:hAnsi="黑体" w:eastAsia="黑体" w:cs="黑体"/>
                <w:sz w:val="24"/>
              </w:rPr>
            </w:pPr>
            <w:r>
              <w:rPr>
                <w:rFonts w:hint="eastAsia" w:ascii="黑体" w:hAnsi="黑体" w:eastAsia="黑体" w:cs="黑体"/>
                <w:sz w:val="24"/>
              </w:rPr>
              <w:t>工作进展和取得成效</w:t>
            </w:r>
          </w:p>
        </w:tc>
        <w:tc>
          <w:tcPr>
            <w:tcW w:w="1037" w:type="dxa"/>
            <w:vAlign w:val="center"/>
          </w:tcPr>
          <w:p>
            <w:pPr>
              <w:jc w:val="center"/>
              <w:rPr>
                <w:rFonts w:ascii="黑体" w:hAnsi="黑体" w:eastAsia="黑体" w:cs="黑体"/>
                <w:sz w:val="24"/>
              </w:rPr>
            </w:pPr>
            <w:r>
              <w:rPr>
                <w:rFonts w:hint="eastAsia" w:ascii="黑体" w:hAnsi="黑体" w:eastAsia="黑体" w:cs="黑体"/>
                <w:sz w:val="24"/>
              </w:rPr>
              <w:t>完成</w:t>
            </w:r>
          </w:p>
          <w:p>
            <w:pPr>
              <w:jc w:val="center"/>
              <w:rPr>
                <w:rFonts w:ascii="黑体" w:hAnsi="黑体" w:eastAsia="黑体" w:cs="黑体"/>
                <w:sz w:val="24"/>
              </w:rPr>
            </w:pPr>
            <w:r>
              <w:rPr>
                <w:rFonts w:hint="eastAsia" w:ascii="黑体" w:hAnsi="黑体" w:eastAsia="黑体" w:cs="黑体"/>
                <w:sz w:val="24"/>
              </w:rPr>
              <w:t>时限</w:t>
            </w:r>
          </w:p>
        </w:tc>
        <w:tc>
          <w:tcPr>
            <w:tcW w:w="2065" w:type="dxa"/>
            <w:vAlign w:val="center"/>
          </w:tcPr>
          <w:p>
            <w:pPr>
              <w:rPr>
                <w:rFonts w:hint="eastAsia" w:ascii="黑体" w:hAnsi="黑体" w:eastAsia="黑体" w:cs="黑体"/>
                <w:sz w:val="24"/>
              </w:rPr>
            </w:pPr>
            <w:r>
              <w:rPr>
                <w:rFonts w:hint="eastAsia" w:ascii="黑体" w:hAnsi="黑体" w:eastAsia="黑体" w:cs="黑体"/>
                <w:sz w:val="24"/>
              </w:rPr>
              <w:t>后续举措</w:t>
            </w:r>
          </w:p>
          <w:p>
            <w:pPr>
              <w:rPr>
                <w:rFonts w:ascii="黑体" w:hAnsi="黑体" w:eastAsia="黑体" w:cs="黑体"/>
                <w:sz w:val="24"/>
              </w:rPr>
            </w:pPr>
            <w:r>
              <w:rPr>
                <w:rFonts w:hint="eastAsia" w:ascii="黑体" w:hAnsi="黑体" w:eastAsia="黑体" w:cs="黑体"/>
                <w:sz w:val="24"/>
              </w:rPr>
              <w:t>和落实情况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006" w:type="dxa"/>
            <w:vMerge w:val="restart"/>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省直重点任务公开承诺事项</w:t>
            </w: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1.认真落实全面从严治党主体责任，加强党风廉政建设，推动党建与业务深度融合，推动科技系统全面从严治党向纵深发展。</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1.进一步加强落实全面从严治党主体责任制度建设，制定《2020年省科技厅党组落实全面从严治党责任清单》，具体明确了厅党组、党组书记和领导班子其他成员承担的全面从严治党责任清单。</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2.召开全厅党风廉政建设大会和干部纪律作风建设会议，制定《2020年党风廉政建设和反腐败工作要点》《深化作风建设提升干部执行力实施方案》《省科技厅纪律作风建设领导小组成员名单》《省科技厅纪律作风建设例会制度》等系列文件，明确任务、夯实责任，推动管党治党落地见效。</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3.深化纪律作风建设促文明创建。开展了纪律作风建设“六个结合”工作，把纪律作风建设与深入开展文明单位创建活动等厅年度六项重点工作结合起来，通过及时组织协调、督查推进、统筹调度，推动做好文明创建的各项工作。</w:t>
            </w:r>
          </w:p>
        </w:tc>
        <w:tc>
          <w:tcPr>
            <w:tcW w:w="1037" w:type="dxa"/>
            <w:vAlign w:val="center"/>
          </w:tcPr>
          <w:p>
            <w:pPr>
              <w:jc w:val="cente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持续</w:t>
            </w:r>
          </w:p>
          <w:p>
            <w:pPr>
              <w:jc w:val="cente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推进</w:t>
            </w:r>
          </w:p>
        </w:tc>
        <w:tc>
          <w:tcPr>
            <w:tcW w:w="2065"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2020年取得阶段性成效，后期需持续推进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2.以新冠肺炎疫情科研攻关为重点，组织实施10余项重大科技创新工程、软科学研究项目，完善疫病防控和公共卫生科研攻关体系。</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1.2020年2月7日，省科技厅下达《关于下达2020年度山东省重点研发计划（“新型冠状病毒感染的肺炎疫情应急技术攻关及集成应用”重大科技创新工程）的通知》（鲁科字〔2020〕11号） ，共立项实施12个课题，投入财政科技经费1750万元。</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2.组织实施软科学应急项目“新发传染病风险预警与应急响应机制研究”，重大项目“生态环境对新冠肺炎疫情的影响研究——基于大数据分析”，一般项目“新冠肺炎疫情下医院感染风险评价及其应用研究”。</w:t>
            </w:r>
          </w:p>
        </w:tc>
        <w:tc>
          <w:tcPr>
            <w:tcW w:w="1037" w:type="dxa"/>
            <w:vAlign w:val="center"/>
          </w:tcPr>
          <w:p>
            <w:pPr>
              <w:jc w:val="cente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12月</w:t>
            </w:r>
          </w:p>
        </w:tc>
        <w:tc>
          <w:tcPr>
            <w:tcW w:w="2065" w:type="dxa"/>
            <w:vAlign w:val="center"/>
          </w:tcPr>
          <w:p>
            <w:pPr>
              <w:jc w:val="cente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3.在新一代人工智能、云计算、大数据、智能机器人等领域，实施100项左右重大科技创新工程，在网络空间安全、“蓝色药库”、前沿新材料等领域，实施20项左右重大基础研究项目，突破一批“卡脖子”技术。</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1.9月30日，省科技厅面向社会印发了《关于组织开展2020年度山东省重点研发计划（重大科技创新工程）项目申报的通知》，组织开展项目申报工作，其中人工智能、云计算、大数据、职能机器人均列入指南重点方向；10月27日，完成了项目申报和形式审查工作；10月30至12月8日，顺利完成了项目初评、职能部门推荐、综合评审、现场考察和公开公示等工作；12月13日，拟立项项目建议经省科技厅第33次厅党组会审议通过；12月19日拟立项项目建议经省科技领导小组审议通过；2020年按照多中选好、好中选优的原则，择优筛选出100个项目作为重大工程拟立项支持项目，并印发计划文件，目前正在组织项目承担单位签订任务书，尽快组织项目实施，发挥成效。</w:t>
            </w:r>
          </w:p>
          <w:p>
            <w:pPr>
              <w:numPr>
                <w:ilvl w:val="0"/>
                <w:numId w:val="1"/>
              </w:num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完成重大基础研究项目的评审立项工作，资助19个专题44项目，金额达6600万元。</w:t>
            </w:r>
          </w:p>
        </w:tc>
        <w:tc>
          <w:tcPr>
            <w:tcW w:w="1037" w:type="dxa"/>
            <w:vAlign w:val="center"/>
          </w:tcPr>
          <w:p>
            <w:pPr>
              <w:jc w:val="center"/>
              <w:rPr>
                <w:szCs w:val="21"/>
              </w:rPr>
            </w:pPr>
            <w:r>
              <w:rPr>
                <w:rFonts w:hint="eastAsia"/>
                <w:szCs w:val="21"/>
              </w:rPr>
              <w:t>12月</w:t>
            </w:r>
          </w:p>
        </w:tc>
        <w:tc>
          <w:tcPr>
            <w:tcW w:w="2065" w:type="dxa"/>
            <w:vAlign w:val="center"/>
          </w:tcPr>
          <w:p>
            <w:pPr>
              <w:jc w:val="center"/>
              <w:rPr>
                <w:szCs w:val="21"/>
              </w:rPr>
            </w:pPr>
            <w:r>
              <w:rPr>
                <w:rFonts w:hint="eastAsia"/>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6" w:type="dxa"/>
            <w:vMerge w:val="continue"/>
          </w:tcPr>
          <w:p>
            <w:pPr>
              <w:rPr>
                <w:rFonts w:ascii="仿宋_GB2312" w:hAnsi="Arial" w:eastAsia="仿宋_GB2312" w:cs="仿宋_GB2312"/>
                <w:spacing w:val="8"/>
                <w:kern w:val="0"/>
                <w:szCs w:val="21"/>
              </w:rPr>
            </w:pPr>
          </w:p>
        </w:tc>
        <w:tc>
          <w:tcPr>
            <w:tcW w:w="2496" w:type="dxa"/>
            <w:vMerge w:val="restart"/>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4.推进山东能源研究院、山东高等技术研究院、山东产业技术研究院规范化建设。再建设8家左右省级创新创业共同体，建设一批新型研发机构，基本形成“1+30+N”创新体系。</w:t>
            </w:r>
          </w:p>
        </w:tc>
        <w:tc>
          <w:tcPr>
            <w:tcW w:w="7396" w:type="dxa"/>
            <w:vAlign w:val="center"/>
          </w:tcPr>
          <w:p>
            <w:pPr>
              <w:jc w:val="left"/>
              <w:rPr>
                <w:rFonts w:ascii="黑体" w:hAnsi="黑体" w:eastAsia="黑体" w:cs="黑体"/>
                <w:b/>
                <w:bCs/>
                <w:spacing w:val="8"/>
                <w:kern w:val="0"/>
                <w:szCs w:val="21"/>
              </w:rPr>
            </w:pPr>
            <w:r>
              <w:rPr>
                <w:rFonts w:hint="eastAsia" w:ascii="黑体" w:hAnsi="黑体" w:eastAsia="黑体" w:cs="黑体"/>
                <w:b/>
                <w:bCs/>
                <w:spacing w:val="8"/>
                <w:kern w:val="0"/>
                <w:szCs w:val="21"/>
              </w:rPr>
              <w:t>1.</w:t>
            </w:r>
            <w:r>
              <w:rPr>
                <w:rFonts w:hint="eastAsia" w:ascii="黑体" w:hAnsi="黑体" w:eastAsia="黑体" w:cs="黑体"/>
                <w:spacing w:val="8"/>
                <w:kern w:val="0"/>
                <w:szCs w:val="21"/>
              </w:rPr>
              <w:t>推进山东能源研究院规范化建设。</w:t>
            </w:r>
            <w:r>
              <w:rPr>
                <w:rFonts w:hint="eastAsia" w:ascii="仿宋_GB2312" w:hAnsi="Arial" w:eastAsia="仿宋_GB2312" w:cs="仿宋_GB2312"/>
                <w:spacing w:val="8"/>
                <w:kern w:val="0"/>
                <w:szCs w:val="21"/>
              </w:rPr>
              <w:t>在省委、省政府的坚强领导下，我厅作为能源研究院（以下简称“能源院”）建设工作推进组办公室，积极发挥统筹协调作用，能源院建设取得阶段性进展。</w:t>
            </w:r>
            <w:r>
              <w:rPr>
                <w:rFonts w:hint="eastAsia" w:ascii="仿宋_GB2312" w:hAnsi="Arial" w:eastAsia="仿宋_GB2312" w:cs="仿宋_GB2312"/>
                <w:b/>
                <w:bCs/>
                <w:spacing w:val="8"/>
                <w:kern w:val="0"/>
                <w:szCs w:val="21"/>
              </w:rPr>
              <w:t>一是</w:t>
            </w:r>
            <w:r>
              <w:rPr>
                <w:rFonts w:hint="eastAsia" w:ascii="仿宋_GB2312" w:hAnsi="Arial" w:eastAsia="仿宋_GB2312" w:cs="仿宋_GB2312"/>
                <w:spacing w:val="8"/>
                <w:kern w:val="0"/>
                <w:szCs w:val="21"/>
              </w:rPr>
              <w:t>成立以山东省和中科院分管领导为组长的能源研究院建设工作推进组，分别于1月9日和11月11日召开了两次工作推进组会议，强化部门协同配合，共同推动重点工作落实。在省市共同推动下，11月11日能源院一期工程正式开工建设。</w:t>
            </w:r>
            <w:r>
              <w:rPr>
                <w:rFonts w:hint="eastAsia" w:ascii="仿宋_GB2312" w:hAnsi="Arial" w:eastAsia="仿宋_GB2312" w:cs="仿宋_GB2312"/>
                <w:b/>
                <w:bCs/>
                <w:spacing w:val="8"/>
                <w:kern w:val="0"/>
                <w:szCs w:val="21"/>
              </w:rPr>
              <w:t>二是</w:t>
            </w:r>
            <w:r>
              <w:rPr>
                <w:rFonts w:hint="eastAsia" w:ascii="仿宋_GB2312" w:hAnsi="Arial" w:eastAsia="仿宋_GB2312" w:cs="仿宋_GB2312"/>
                <w:spacing w:val="8"/>
                <w:kern w:val="0"/>
                <w:szCs w:val="21"/>
              </w:rPr>
              <w:t>省委编办批准能源院为省属事业法人单位，并按照500个人员控制总量进行备案。省人力资源社会保障厅按驻济以外省属事业单位为工作人员缴纳事业单位保险。</w:t>
            </w:r>
            <w:r>
              <w:rPr>
                <w:rFonts w:hint="eastAsia" w:ascii="仿宋_GB2312" w:hAnsi="Arial" w:eastAsia="仿宋_GB2312" w:cs="仿宋_GB2312"/>
                <w:b/>
                <w:bCs/>
                <w:spacing w:val="8"/>
                <w:kern w:val="0"/>
                <w:szCs w:val="21"/>
              </w:rPr>
              <w:t>三是</w:t>
            </w:r>
            <w:r>
              <w:rPr>
                <w:rFonts w:hint="eastAsia" w:ascii="仿宋_GB2312" w:hAnsi="Arial" w:eastAsia="仿宋_GB2312" w:cs="仿宋_GB2312"/>
                <w:spacing w:val="8"/>
                <w:kern w:val="0"/>
                <w:szCs w:val="21"/>
              </w:rPr>
              <w:t>完善制度建设。工作推进组审议通过了《山东能源研究院章程》《山东能源研究院建设工作推进组工作规则》等有关制度文件，规范能源院管理运行；成立国际咨询委员会和技术委员会。</w:t>
            </w:r>
            <w:r>
              <w:rPr>
                <w:rFonts w:hint="eastAsia" w:ascii="仿宋_GB2312" w:hAnsi="Arial" w:eastAsia="仿宋_GB2312" w:cs="仿宋_GB2312"/>
                <w:b/>
                <w:bCs/>
                <w:spacing w:val="8"/>
                <w:kern w:val="0"/>
                <w:szCs w:val="21"/>
              </w:rPr>
              <w:t>四是</w:t>
            </w:r>
            <w:r>
              <w:rPr>
                <w:rFonts w:hint="eastAsia" w:ascii="仿宋_GB2312" w:hAnsi="Arial" w:eastAsia="仿宋_GB2312" w:cs="仿宋_GB2312"/>
                <w:spacing w:val="8"/>
                <w:kern w:val="0"/>
                <w:szCs w:val="21"/>
              </w:rPr>
              <w:t>推动能源院加快编制建设规划、实施方案和年度资金使用计划；多次召开专题工作会议，进行研究讨论、修改完善。</w:t>
            </w:r>
          </w:p>
          <w:p>
            <w:pPr>
              <w:jc w:val="left"/>
              <w:rPr>
                <w:rFonts w:ascii="仿宋_GB2312" w:hAnsi="Arial" w:eastAsia="仿宋_GB2312" w:cs="仿宋_GB2312"/>
                <w:spacing w:val="8"/>
                <w:kern w:val="0"/>
                <w:szCs w:val="21"/>
              </w:rPr>
            </w:pPr>
            <w:r>
              <w:rPr>
                <w:rFonts w:hint="eastAsia" w:ascii="黑体" w:hAnsi="黑体" w:eastAsia="黑体" w:cs="黑体"/>
                <w:spacing w:val="8"/>
                <w:kern w:val="0"/>
                <w:szCs w:val="21"/>
              </w:rPr>
              <w:t>2.推进山东高等技术研究院规范化建设。</w:t>
            </w:r>
            <w:r>
              <w:rPr>
                <w:rFonts w:hint="eastAsia" w:ascii="仿宋_GB2312" w:hAnsi="Arial" w:eastAsia="仿宋_GB2312" w:cs="仿宋_GB2312"/>
                <w:b/>
                <w:bCs/>
                <w:spacing w:val="8"/>
                <w:kern w:val="0"/>
                <w:szCs w:val="21"/>
              </w:rPr>
              <w:t>一是</w:t>
            </w:r>
            <w:r>
              <w:rPr>
                <w:rFonts w:hint="eastAsia" w:ascii="仿宋_GB2312" w:hAnsi="Arial" w:eastAsia="仿宋_GB2312" w:cs="仿宋_GB2312"/>
                <w:spacing w:val="8"/>
                <w:kern w:val="0"/>
                <w:szCs w:val="21"/>
              </w:rPr>
              <w:t>报请理事会同意，成立山东高等技术研究院理事会秘书处，负责理事会日常事务工作。做好规划引领，协助制定高研院中长期发展规划，明确了未来五年发展目标、研究领域和重点任务。</w:t>
            </w:r>
            <w:r>
              <w:rPr>
                <w:rFonts w:hint="eastAsia" w:ascii="仿宋_GB2312" w:hAnsi="Arial" w:eastAsia="仿宋_GB2312" w:cs="仿宋_GB2312"/>
                <w:b/>
                <w:bCs/>
                <w:spacing w:val="8"/>
                <w:kern w:val="0"/>
                <w:szCs w:val="21"/>
              </w:rPr>
              <w:t>二是</w:t>
            </w:r>
            <w:r>
              <w:rPr>
                <w:rFonts w:hint="eastAsia" w:ascii="仿宋_GB2312" w:hAnsi="Arial" w:eastAsia="仿宋_GB2312" w:cs="仿宋_GB2312"/>
                <w:spacing w:val="8"/>
                <w:kern w:val="0"/>
                <w:szCs w:val="21"/>
              </w:rPr>
              <w:t>加强制度建设。制定《山东高等技术研究院章程》《山东高等技术研究院薪酬管理框架意见》等系列规章制度。</w:t>
            </w:r>
            <w:r>
              <w:rPr>
                <w:rFonts w:hint="eastAsia" w:ascii="仿宋_GB2312" w:hAnsi="Arial" w:eastAsia="仿宋_GB2312" w:cs="仿宋_GB2312"/>
                <w:b/>
                <w:bCs/>
                <w:spacing w:val="8"/>
                <w:kern w:val="0"/>
                <w:szCs w:val="21"/>
              </w:rPr>
              <w:t>三是</w:t>
            </w:r>
            <w:r>
              <w:rPr>
                <w:rFonts w:hint="eastAsia" w:ascii="仿宋_GB2312" w:hAnsi="Arial" w:eastAsia="仿宋_GB2312" w:cs="仿宋_GB2312"/>
                <w:spacing w:val="8"/>
                <w:kern w:val="0"/>
                <w:szCs w:val="21"/>
              </w:rPr>
              <w:t>积极做好人才引进工作，指导引进20多名35岁以下的青年专家学者和专业技术人员，初步形成了粒子物理和热科学科研团队。</w:t>
            </w:r>
            <w:r>
              <w:rPr>
                <w:rFonts w:hint="eastAsia" w:ascii="仿宋_GB2312" w:hAnsi="Arial" w:eastAsia="仿宋_GB2312" w:cs="仿宋_GB2312"/>
                <w:b/>
                <w:bCs/>
                <w:spacing w:val="8"/>
                <w:kern w:val="0"/>
                <w:szCs w:val="21"/>
              </w:rPr>
              <w:t>四是</w:t>
            </w:r>
            <w:r>
              <w:rPr>
                <w:rFonts w:hint="eastAsia" w:ascii="仿宋_GB2312" w:hAnsi="Arial" w:eastAsia="仿宋_GB2312" w:cs="仿宋_GB2312"/>
                <w:spacing w:val="8"/>
                <w:kern w:val="0"/>
                <w:szCs w:val="21"/>
              </w:rPr>
              <w:t>积极加快建设主体园区，高标准高起点编制位于济南超算科技园西南虎山片区230亩地建设规划，目前，已完成项目土地征收、划拨、移交等工作。</w:t>
            </w:r>
            <w:r>
              <w:rPr>
                <w:rFonts w:hint="eastAsia" w:ascii="仿宋_GB2312" w:hAnsi="Arial" w:eastAsia="仿宋_GB2312" w:cs="仿宋_GB2312"/>
                <w:b/>
                <w:bCs/>
                <w:spacing w:val="8"/>
                <w:kern w:val="0"/>
                <w:szCs w:val="21"/>
              </w:rPr>
              <w:t>五是</w:t>
            </w:r>
            <w:r>
              <w:rPr>
                <w:rFonts w:hint="eastAsia" w:ascii="仿宋_GB2312" w:hAnsi="Arial" w:eastAsia="仿宋_GB2312" w:cs="仿宋_GB2312"/>
                <w:spacing w:val="8"/>
                <w:kern w:val="0"/>
                <w:szCs w:val="21"/>
              </w:rPr>
              <w:t>争取上级支持，多次赴科技部、中科院等部门，汇报高研院建设进展和打算，争取政策支持。</w:t>
            </w:r>
            <w:r>
              <w:rPr>
                <w:rFonts w:hint="eastAsia" w:ascii="仿宋_GB2312" w:hAnsi="Arial" w:eastAsia="仿宋_GB2312" w:cs="仿宋_GB2312"/>
                <w:b/>
                <w:bCs/>
                <w:spacing w:val="8"/>
                <w:kern w:val="0"/>
                <w:szCs w:val="21"/>
              </w:rPr>
              <w:t>六是</w:t>
            </w:r>
            <w:r>
              <w:rPr>
                <w:rFonts w:hint="eastAsia" w:ascii="仿宋_GB2312" w:hAnsi="Arial" w:eastAsia="仿宋_GB2312" w:cs="仿宋_GB2312"/>
                <w:spacing w:val="8"/>
                <w:kern w:val="0"/>
                <w:szCs w:val="21"/>
              </w:rPr>
              <w:t>指导做好济南粒子科学与应用技术山东省实验室的建设，通过专家论证并挂牌（筹）。</w:t>
            </w:r>
          </w:p>
          <w:p>
            <w:pPr>
              <w:jc w:val="left"/>
              <w:rPr>
                <w:rFonts w:ascii="仿宋_GB2312" w:hAnsi="Arial" w:eastAsia="仿宋_GB2312" w:cs="仿宋_GB2312"/>
                <w:spacing w:val="8"/>
                <w:kern w:val="0"/>
                <w:szCs w:val="21"/>
              </w:rPr>
            </w:pPr>
            <w:r>
              <w:rPr>
                <w:rFonts w:hint="eastAsia" w:ascii="仿宋_GB2312" w:hAnsi="Arial" w:eastAsia="仿宋_GB2312" w:cs="仿宋_GB2312"/>
                <w:b/>
                <w:bCs/>
                <w:spacing w:val="8"/>
                <w:kern w:val="0"/>
                <w:szCs w:val="21"/>
              </w:rPr>
              <w:t>3.</w:t>
            </w:r>
            <w:r>
              <w:rPr>
                <w:rFonts w:hint="eastAsia" w:ascii="黑体" w:hAnsi="黑体" w:eastAsia="黑体" w:cs="黑体"/>
                <w:spacing w:val="8"/>
                <w:kern w:val="0"/>
                <w:szCs w:val="21"/>
              </w:rPr>
              <w:t>推进山东产业技术研究院规范化建设。</w:t>
            </w:r>
            <w:r>
              <w:rPr>
                <w:rFonts w:hint="eastAsia" w:ascii="仿宋_GB2312" w:hAnsi="Arial" w:eastAsia="仿宋_GB2312" w:cs="仿宋_GB2312"/>
                <w:spacing w:val="8"/>
                <w:kern w:val="0"/>
                <w:szCs w:val="21"/>
              </w:rPr>
              <w:t>指导产研院按照“效能优先、逻辑科学、界面明确、责任清晰”的原则，启动产研院制度流程优化工程，加强内部管理制度建设，加强流程梳理，强化风险管控，截至目前共梳理制度流程58项，其中新建21项、修订完善26项。指导产研院制定了创新发展规划（2020-2025）、资金管理暂行办法、薪酬原则等规章制度。制定印发《山东产业技术研究院年度考核办法》，对产研院进行了深入细致的考核。组织召开了产研院理事会一届三次会议，并对产研院领导班子进行了考核测评。</w:t>
            </w:r>
          </w:p>
        </w:tc>
        <w:tc>
          <w:tcPr>
            <w:tcW w:w="1037" w:type="dxa"/>
            <w:vAlign w:val="center"/>
          </w:tcPr>
          <w:p>
            <w:pPr>
              <w:jc w:val="center"/>
              <w:rPr>
                <w:szCs w:val="21"/>
              </w:rPr>
            </w:pPr>
            <w:r>
              <w:rPr>
                <w:rFonts w:hint="eastAsia"/>
                <w:szCs w:val="21"/>
              </w:rPr>
              <w:t>持续</w:t>
            </w:r>
          </w:p>
          <w:p>
            <w:pPr>
              <w:jc w:val="center"/>
              <w:rPr>
                <w:szCs w:val="21"/>
              </w:rPr>
            </w:pPr>
            <w:r>
              <w:rPr>
                <w:rFonts w:hint="eastAsia"/>
                <w:szCs w:val="21"/>
              </w:rPr>
              <w:t>推进</w:t>
            </w:r>
          </w:p>
        </w:tc>
        <w:tc>
          <w:tcPr>
            <w:tcW w:w="2065" w:type="dxa"/>
            <w:vAlign w:val="center"/>
          </w:tcPr>
          <w:p>
            <w:pPr>
              <w:rPr>
                <w:szCs w:val="21"/>
              </w:rPr>
            </w:pPr>
            <w:r>
              <w:rPr>
                <w:rFonts w:hint="eastAsia"/>
                <w:szCs w:val="21"/>
              </w:rPr>
              <w:t>2020年取得阶段性</w:t>
            </w:r>
            <w:r>
              <w:rPr>
                <w:rFonts w:hint="eastAsia" w:ascii="仿宋_GB2312" w:hAnsi="Arial" w:eastAsia="仿宋_GB2312" w:cs="仿宋_GB2312"/>
                <w:spacing w:val="8"/>
                <w:kern w:val="0"/>
                <w:szCs w:val="21"/>
              </w:rPr>
              <w:t>成效</w:t>
            </w:r>
            <w:r>
              <w:rPr>
                <w:rFonts w:hint="eastAsia"/>
                <w:szCs w:val="21"/>
              </w:rPr>
              <w:t>，后期需持续推进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006" w:type="dxa"/>
            <w:vMerge w:val="continue"/>
          </w:tcPr>
          <w:p>
            <w:pPr>
              <w:rPr>
                <w:rFonts w:ascii="仿宋_GB2312" w:hAnsi="Arial" w:eastAsia="仿宋_GB2312" w:cs="仿宋_GB2312"/>
                <w:spacing w:val="8"/>
                <w:kern w:val="0"/>
                <w:szCs w:val="21"/>
              </w:rPr>
            </w:pPr>
          </w:p>
        </w:tc>
        <w:tc>
          <w:tcPr>
            <w:tcW w:w="2496" w:type="dxa"/>
            <w:vMerge w:val="continue"/>
            <w:vAlign w:val="center"/>
          </w:tcPr>
          <w:p>
            <w:pPr>
              <w:rPr>
                <w:rFonts w:ascii="仿宋_GB2312" w:hAnsi="Arial" w:eastAsia="仿宋_GB2312" w:cs="仿宋_GB2312"/>
                <w:spacing w:val="8"/>
                <w:kern w:val="0"/>
                <w:szCs w:val="21"/>
              </w:rPr>
            </w:pPr>
          </w:p>
        </w:tc>
        <w:tc>
          <w:tcPr>
            <w:tcW w:w="7396" w:type="dxa"/>
            <w:vAlign w:val="center"/>
          </w:tcPr>
          <w:p>
            <w:pPr>
              <w:jc w:val="left"/>
              <w:rPr>
                <w:rFonts w:ascii="仿宋_GB2312" w:hAnsi="Arial" w:eastAsia="仿宋_GB2312" w:cs="仿宋_GB2312"/>
                <w:spacing w:val="8"/>
                <w:kern w:val="0"/>
                <w:szCs w:val="21"/>
              </w:rPr>
            </w:pPr>
            <w:r>
              <w:rPr>
                <w:rFonts w:hint="eastAsia" w:ascii="黑体" w:hAnsi="黑体" w:eastAsia="黑体" w:cs="黑体"/>
                <w:spacing w:val="8"/>
                <w:kern w:val="0"/>
                <w:szCs w:val="21"/>
              </w:rPr>
              <w:t>4.大力培育新型研发机构。</w:t>
            </w:r>
            <w:r>
              <w:rPr>
                <w:rFonts w:hint="eastAsia" w:ascii="仿宋_GB2312" w:hAnsi="Arial" w:eastAsia="仿宋_GB2312" w:cs="仿宋_GB2312"/>
                <w:spacing w:val="8"/>
                <w:kern w:val="0"/>
                <w:szCs w:val="21"/>
              </w:rPr>
              <w:t>科技特派员、生物技术与制造等8家共同体通过答辩评审与现场考察，并向省政府提交了《山东省科学技术厅关于提请省政府常务会议审议第三批省级创新创业共同体名单的请示》，省政府常务会议已审议通过。目前，全省已布局建设30家省级创新创业共同体，首批134家省级新型研发机构予以备案，引导支持各市建设市级创新创业共同体超过100家，“1+30+N”创新体系初步构建。</w:t>
            </w:r>
          </w:p>
        </w:tc>
        <w:tc>
          <w:tcPr>
            <w:tcW w:w="1037" w:type="dxa"/>
            <w:vAlign w:val="center"/>
          </w:tcPr>
          <w:p>
            <w:pPr>
              <w:jc w:val="center"/>
              <w:rPr>
                <w:szCs w:val="21"/>
              </w:rPr>
            </w:pPr>
            <w:r>
              <w:rPr>
                <w:rFonts w:hint="eastAsia"/>
                <w:szCs w:val="21"/>
              </w:rPr>
              <w:t>12月</w:t>
            </w:r>
          </w:p>
        </w:tc>
        <w:tc>
          <w:tcPr>
            <w:tcW w:w="2065" w:type="dxa"/>
            <w:vAlign w:val="center"/>
          </w:tcPr>
          <w:p>
            <w:pPr>
              <w:jc w:val="center"/>
              <w:rPr>
                <w:szCs w:val="21"/>
              </w:rPr>
            </w:pPr>
            <w:r>
              <w:rPr>
                <w:rFonts w:hint="eastAsia"/>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5.出台《山东省实验室建设方案》，启动首批4家省实验室建设。</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1.加强组织领导，成立了省实验室建设工作专班；</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2.坚持规划引领，制定了《山东省实验室建设管理办法（试行）》，已报请省政府常务会议审议；</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3.做好指导协调，指导济青烟三市修改完善省实验室组建方案；召开现场会，交流实验室建设进展，协调解决遇到的问题和困难，加快推进各实验室建设步伐。</w:t>
            </w:r>
          </w:p>
          <w:p>
            <w:pPr>
              <w:jc w:val="left"/>
              <w:rPr>
                <w:szCs w:val="21"/>
              </w:rPr>
            </w:pPr>
            <w:r>
              <w:rPr>
                <w:rFonts w:hint="eastAsia" w:ascii="仿宋_GB2312" w:hAnsi="Arial" w:eastAsia="仿宋_GB2312" w:cs="仿宋_GB2312"/>
                <w:spacing w:val="8"/>
                <w:kern w:val="0"/>
                <w:szCs w:val="21"/>
              </w:rPr>
              <w:t>4.高标准启动建设，当前，5家省实验室已通过专家论证，并开展建设工作，高标准完成了建设4家山东省实验室计划。</w:t>
            </w:r>
          </w:p>
        </w:tc>
        <w:tc>
          <w:tcPr>
            <w:tcW w:w="1037" w:type="dxa"/>
            <w:vAlign w:val="center"/>
          </w:tcPr>
          <w:p>
            <w:pPr>
              <w:jc w:val="center"/>
              <w:rPr>
                <w:szCs w:val="21"/>
              </w:rPr>
            </w:pPr>
            <w:r>
              <w:rPr>
                <w:rFonts w:hint="eastAsia"/>
                <w:szCs w:val="21"/>
              </w:rPr>
              <w:t>12月</w:t>
            </w:r>
          </w:p>
        </w:tc>
        <w:tc>
          <w:tcPr>
            <w:tcW w:w="2065" w:type="dxa"/>
            <w:vAlign w:val="center"/>
          </w:tcPr>
          <w:p>
            <w:pPr>
              <w:jc w:val="center"/>
              <w:rPr>
                <w:szCs w:val="21"/>
              </w:rPr>
            </w:pPr>
            <w:r>
              <w:rPr>
                <w:rFonts w:hint="eastAsia"/>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6.力争国家科技型中小企业入库数量再增3000家、高新技术企业再增2000家。</w:t>
            </w:r>
          </w:p>
        </w:tc>
        <w:tc>
          <w:tcPr>
            <w:tcW w:w="7396" w:type="dxa"/>
            <w:vAlign w:val="center"/>
          </w:tcPr>
          <w:p>
            <w:pPr>
              <w:jc w:val="left"/>
              <w:rPr>
                <w:szCs w:val="21"/>
              </w:rPr>
            </w:pPr>
            <w:r>
              <w:rPr>
                <w:rFonts w:hint="eastAsia" w:ascii="仿宋_GB2312" w:hAnsi="Arial" w:eastAsia="仿宋_GB2312" w:cs="仿宋_GB2312"/>
                <w:spacing w:val="8"/>
                <w:kern w:val="0"/>
                <w:szCs w:val="21"/>
              </w:rPr>
              <w:t>2020年度，国家科技型入库企业数量新增8720家，高新技术企业新增3000家以上。</w:t>
            </w:r>
          </w:p>
        </w:tc>
        <w:tc>
          <w:tcPr>
            <w:tcW w:w="1037" w:type="dxa"/>
            <w:vAlign w:val="center"/>
          </w:tcPr>
          <w:p>
            <w:pPr>
              <w:jc w:val="center"/>
              <w:rPr>
                <w:szCs w:val="21"/>
              </w:rPr>
            </w:pPr>
            <w:r>
              <w:rPr>
                <w:rFonts w:hint="eastAsia"/>
                <w:szCs w:val="21"/>
              </w:rPr>
              <w:t>12月</w:t>
            </w:r>
          </w:p>
        </w:tc>
        <w:tc>
          <w:tcPr>
            <w:tcW w:w="2065" w:type="dxa"/>
            <w:vAlign w:val="center"/>
          </w:tcPr>
          <w:p>
            <w:pPr>
              <w:jc w:val="center"/>
              <w:rPr>
                <w:szCs w:val="21"/>
              </w:rPr>
            </w:pPr>
            <w:r>
              <w:rPr>
                <w:rFonts w:hint="eastAsia"/>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7.加快高新区体制改革步伐，推动国家高新区16市全覆盖。</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制定出台《全面有序推进开发区体制机制改革创新工作方案》，对高新区改革做出安排部署，指导20家高新区制定改革方案，有序推进改革。制定出台《山东省开发区综合发展水平评价办法》，建立完善以创新为导向的考核评价制度，开展了2019年全省开发区综合发展水平评价。</w:t>
            </w:r>
          </w:p>
          <w:p>
            <w:pPr>
              <w:jc w:val="left"/>
              <w:rPr>
                <w:szCs w:val="21"/>
              </w:rPr>
            </w:pPr>
            <w:r>
              <w:rPr>
                <w:rFonts w:hint="eastAsia" w:ascii="仿宋_GB2312" w:hAnsi="Arial" w:eastAsia="仿宋_GB2312" w:cs="仿宋_GB2312"/>
                <w:spacing w:val="8"/>
                <w:kern w:val="0"/>
                <w:szCs w:val="21"/>
              </w:rPr>
              <w:t>2.坚持“以升促建”，推动省级高新区升级为国家高新区。日照、菏泽、聊城3家省级高新区的升级工作已进入部委会签程序。指导滨州、寿光、东营高新区修改完善园区发展规划和产业发展规划。充分运用国务院督查激励政策，报请省政府向科技部发函，优先支持滨州高新区升级国家高新区。</w:t>
            </w:r>
          </w:p>
        </w:tc>
        <w:tc>
          <w:tcPr>
            <w:tcW w:w="1037" w:type="dxa"/>
            <w:vAlign w:val="center"/>
          </w:tcPr>
          <w:p>
            <w:pPr>
              <w:jc w:val="center"/>
              <w:rPr>
                <w:szCs w:val="21"/>
              </w:rPr>
            </w:pPr>
            <w:r>
              <w:rPr>
                <w:rFonts w:hint="eastAsia"/>
                <w:szCs w:val="21"/>
              </w:rPr>
              <w:t>持续</w:t>
            </w:r>
          </w:p>
          <w:p>
            <w:pPr>
              <w:jc w:val="center"/>
              <w:rPr>
                <w:szCs w:val="21"/>
              </w:rPr>
            </w:pPr>
            <w:r>
              <w:rPr>
                <w:rFonts w:hint="eastAsia"/>
                <w:szCs w:val="21"/>
              </w:rPr>
              <w:t>推进</w:t>
            </w:r>
          </w:p>
        </w:tc>
        <w:tc>
          <w:tcPr>
            <w:tcW w:w="2065" w:type="dxa"/>
            <w:vAlign w:val="center"/>
          </w:tcPr>
          <w:p>
            <w:pPr>
              <w:rPr>
                <w:szCs w:val="21"/>
              </w:rPr>
            </w:pPr>
            <w:r>
              <w:rPr>
                <w:rFonts w:hint="eastAsia"/>
                <w:szCs w:val="21"/>
              </w:rPr>
              <w:t>2020年取得阶段性成效，后期需持续推进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8.推动中科院海洋大科学研究中心正式启用，发挥好集聚效应，服务海洋产业高质量发展。</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建立完善议事协调机制，研究制定《中国科学院海洋大科学研究中心建设工作推进小组工作规则》《中国科学院海洋大科学研究中心建设工作推进小组办公室工作细则》，经省委、省政府主要领导和中科院领导批准印发实施。</w:t>
            </w:r>
          </w:p>
          <w:p>
            <w:pPr>
              <w:jc w:val="left"/>
              <w:rPr>
                <w:szCs w:val="21"/>
              </w:rPr>
            </w:pPr>
            <w:r>
              <w:rPr>
                <w:rFonts w:hint="eastAsia" w:ascii="仿宋_GB2312" w:hAnsi="Arial" w:eastAsia="仿宋_GB2312" w:cs="仿宋_GB2312"/>
                <w:spacing w:val="8"/>
                <w:kern w:val="0"/>
                <w:szCs w:val="21"/>
              </w:rPr>
              <w:t>2.全面落实院省市三方共建协议，支持中科院涉海院所、山东省高校院所和企业等44家单位开展联合攻关，支撑山东海洋强省建设。3.组织开展中科院四类机改革首个专家评议会-海洋大科学研究中心建设验收工作会，积极推动中科院创新平台、创新团队、创新成果在我省实现“三个集聚”，成为支撑我省海洋科技强省建设的重要科技成果转化体系。</w:t>
            </w:r>
          </w:p>
        </w:tc>
        <w:tc>
          <w:tcPr>
            <w:tcW w:w="1037" w:type="dxa"/>
            <w:vAlign w:val="center"/>
          </w:tcPr>
          <w:p>
            <w:pPr>
              <w:jc w:val="center"/>
              <w:rPr>
                <w:szCs w:val="21"/>
              </w:rPr>
            </w:pPr>
            <w:r>
              <w:rPr>
                <w:rFonts w:hint="eastAsia"/>
                <w:szCs w:val="21"/>
              </w:rPr>
              <w:t>持续</w:t>
            </w:r>
          </w:p>
          <w:p>
            <w:pPr>
              <w:jc w:val="center"/>
              <w:rPr>
                <w:szCs w:val="21"/>
              </w:rPr>
            </w:pPr>
            <w:r>
              <w:rPr>
                <w:rFonts w:hint="eastAsia"/>
                <w:szCs w:val="21"/>
              </w:rPr>
              <w:t>推进</w:t>
            </w:r>
          </w:p>
        </w:tc>
        <w:tc>
          <w:tcPr>
            <w:tcW w:w="2065" w:type="dxa"/>
            <w:vAlign w:val="center"/>
          </w:tcPr>
          <w:p>
            <w:pPr>
              <w:rPr>
                <w:szCs w:val="21"/>
              </w:rPr>
            </w:pPr>
            <w:r>
              <w:rPr>
                <w:rFonts w:hint="eastAsia"/>
                <w:szCs w:val="21"/>
              </w:rPr>
              <w:t>2020年取得</w:t>
            </w:r>
            <w:r>
              <w:rPr>
                <w:rFonts w:hint="eastAsia" w:ascii="仿宋_GB2312" w:hAnsi="Arial" w:eastAsia="仿宋_GB2312" w:cs="仿宋_GB2312"/>
                <w:spacing w:val="8"/>
                <w:kern w:val="0"/>
                <w:szCs w:val="21"/>
              </w:rPr>
              <w:t>阶段性</w:t>
            </w:r>
            <w:r>
              <w:rPr>
                <w:rFonts w:hint="eastAsia"/>
                <w:szCs w:val="21"/>
              </w:rPr>
              <w:t>成效，后期需持续推进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9.加强科技特派员队伍建设，全省科技特派员数量达到7000人。</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b/>
                <w:bCs/>
                <w:spacing w:val="8"/>
                <w:kern w:val="0"/>
                <w:szCs w:val="21"/>
              </w:rPr>
              <w:t>1.</w:t>
            </w:r>
            <w:r>
              <w:rPr>
                <w:rFonts w:hint="eastAsia" w:ascii="仿宋_GB2312" w:hAnsi="Arial" w:eastAsia="仿宋_GB2312" w:cs="仿宋_GB2312"/>
                <w:spacing w:val="8"/>
                <w:kern w:val="0"/>
                <w:szCs w:val="21"/>
              </w:rPr>
              <w:t>全省选派科技特派员达到7835名，依托山东省农业科技综合服务平台先后开展线上培训指导服务10万余人次。</w:t>
            </w:r>
          </w:p>
          <w:p>
            <w:pPr>
              <w:jc w:val="left"/>
              <w:rPr>
                <w:rFonts w:ascii="仿宋_GB2312" w:hAnsi="Arial" w:eastAsia="仿宋_GB2312" w:cs="仿宋_GB2312"/>
                <w:spacing w:val="8"/>
                <w:kern w:val="0"/>
                <w:szCs w:val="21"/>
              </w:rPr>
            </w:pPr>
            <w:r>
              <w:rPr>
                <w:rFonts w:hint="eastAsia" w:ascii="仿宋_GB2312" w:hAnsi="Arial" w:eastAsia="仿宋_GB2312" w:cs="仿宋_GB2312"/>
                <w:b/>
                <w:bCs/>
                <w:spacing w:val="8"/>
                <w:kern w:val="0"/>
                <w:szCs w:val="21"/>
              </w:rPr>
              <w:t>2.</w:t>
            </w:r>
            <w:r>
              <w:rPr>
                <w:rFonts w:hint="eastAsia" w:ascii="仿宋_GB2312" w:hAnsi="Arial" w:eastAsia="仿宋_GB2312" w:cs="仿宋_GB2312"/>
                <w:spacing w:val="8"/>
                <w:kern w:val="0"/>
                <w:szCs w:val="21"/>
              </w:rPr>
              <w:t>科技特派员行动计划项目立项80个，安排经费1200万元，支持科技特派员深入基层创新创业。</w:t>
            </w:r>
          </w:p>
          <w:p>
            <w:pPr>
              <w:jc w:val="left"/>
              <w:rPr>
                <w:szCs w:val="21"/>
              </w:rPr>
            </w:pPr>
            <w:r>
              <w:rPr>
                <w:rFonts w:hint="eastAsia" w:ascii="仿宋_GB2312" w:hAnsi="Arial" w:eastAsia="仿宋_GB2312" w:cs="仿宋_GB2312"/>
                <w:spacing w:val="8"/>
                <w:kern w:val="0"/>
                <w:szCs w:val="21"/>
              </w:rPr>
              <w:t>3.加快推进山东省科技特派员创新创业共同体建设，指导省农科院联合青岛农大、山东农大等共建单位，统筹社会资源选择园区、企业、农科驿站参与创建。</w:t>
            </w:r>
          </w:p>
        </w:tc>
        <w:tc>
          <w:tcPr>
            <w:tcW w:w="1037" w:type="dxa"/>
            <w:vAlign w:val="center"/>
          </w:tcPr>
          <w:p>
            <w:pPr>
              <w:jc w:val="center"/>
              <w:rPr>
                <w:szCs w:val="21"/>
              </w:rPr>
            </w:pPr>
          </w:p>
        </w:tc>
        <w:tc>
          <w:tcPr>
            <w:tcW w:w="2065" w:type="dxa"/>
            <w:vAlign w:val="center"/>
          </w:tcPr>
          <w:p>
            <w:pPr>
              <w:jc w:val="center"/>
              <w:rPr>
                <w:szCs w:val="21"/>
              </w:rPr>
            </w:pPr>
            <w:r>
              <w:rPr>
                <w:rFonts w:hint="eastAsia"/>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10.推进山东省临床医学研究中心建设，布局建设3—5家省级临床医学研究中心。</w:t>
            </w:r>
          </w:p>
        </w:tc>
        <w:tc>
          <w:tcPr>
            <w:tcW w:w="7396" w:type="dxa"/>
            <w:vAlign w:val="center"/>
          </w:tcPr>
          <w:p>
            <w:pPr>
              <w:jc w:val="left"/>
              <w:rPr>
                <w:szCs w:val="21"/>
              </w:rPr>
            </w:pPr>
            <w:r>
              <w:rPr>
                <w:rFonts w:hint="eastAsia" w:ascii="仿宋_GB2312" w:hAnsi="Arial" w:eastAsia="仿宋_GB2312" w:cs="仿宋_GB2312"/>
                <w:spacing w:val="8"/>
                <w:kern w:val="0"/>
                <w:szCs w:val="21"/>
              </w:rPr>
              <w:t>2020年，依托青岛大学附属医院、山东省文登正骨医院、康复大学（筹）、烟台毓璜顶医院等4个医疗机构，新布局建设了省骨科与运动康复、耳鼻喉专科等4个省级临床医学研究中心。</w:t>
            </w:r>
          </w:p>
        </w:tc>
        <w:tc>
          <w:tcPr>
            <w:tcW w:w="1037" w:type="dxa"/>
            <w:vAlign w:val="center"/>
          </w:tcPr>
          <w:p>
            <w:pPr>
              <w:jc w:val="center"/>
              <w:rPr>
                <w:szCs w:val="21"/>
              </w:rPr>
            </w:pPr>
            <w:r>
              <w:rPr>
                <w:rFonts w:hint="eastAsia"/>
                <w:szCs w:val="21"/>
              </w:rPr>
              <w:t>12月</w:t>
            </w:r>
          </w:p>
        </w:tc>
        <w:tc>
          <w:tcPr>
            <w:tcW w:w="2065" w:type="dxa"/>
            <w:vAlign w:val="center"/>
          </w:tcPr>
          <w:p>
            <w:pPr>
              <w:jc w:val="center"/>
              <w:rPr>
                <w:szCs w:val="21"/>
              </w:rPr>
            </w:pPr>
            <w:r>
              <w:rPr>
                <w:rFonts w:hint="eastAsia"/>
                <w:szCs w:val="21"/>
              </w:rPr>
              <w:t>办结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06" w:type="dxa"/>
            <w:vMerge w:val="continue"/>
          </w:tcPr>
          <w:p>
            <w:pPr>
              <w:rPr>
                <w:rFonts w:ascii="仿宋_GB2312" w:hAnsi="Arial" w:eastAsia="仿宋_GB2312" w:cs="仿宋_GB2312"/>
                <w:spacing w:val="8"/>
                <w:kern w:val="0"/>
                <w:szCs w:val="21"/>
              </w:rPr>
            </w:pPr>
          </w:p>
        </w:tc>
        <w:tc>
          <w:tcPr>
            <w:tcW w:w="2496" w:type="dxa"/>
            <w:vAlign w:val="center"/>
          </w:tcPr>
          <w:p>
            <w:pP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11.推进山东院士专家联合会建设，发挥院士恳谈会作用，集聚高层次人才和团队，促进海内外优质科技资源与我省产业深度融合。</w:t>
            </w:r>
          </w:p>
        </w:tc>
        <w:tc>
          <w:tcPr>
            <w:tcW w:w="7396" w:type="dxa"/>
            <w:vAlign w:val="center"/>
          </w:tcPr>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1.2019年6月，在济南召开2019年创新驱动发展院士恳谈会，成立山东院士专家联合会，截至2020年11月底，吸纳579名海内外院士成为会员。</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2.2020年8月，在青岛召开2020年创新驱动发展院士恳谈会，同时举办山东院士专家联合会2020年会，围绕医养健康、新一代信息技术等我省重点产业领域成立了10个专业委员会，进一步集聚院士资源，为我省新旧动能转换和重点产业发展提供智力支撑和决策支持。</w:t>
            </w:r>
          </w:p>
          <w:p>
            <w:pPr>
              <w:jc w:val="left"/>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3.鼓励各市建设“院士驿站”、“院士之家”等平台载体，完善全省院士合作服务网络建设，协助解决院士专家在鲁、来鲁工作中遇到的困难和问题,形成与院士合作的长效机制。</w:t>
            </w:r>
          </w:p>
        </w:tc>
        <w:tc>
          <w:tcPr>
            <w:tcW w:w="1037" w:type="dxa"/>
            <w:vAlign w:val="center"/>
          </w:tcPr>
          <w:p>
            <w:pPr>
              <w:jc w:val="cente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持续</w:t>
            </w:r>
          </w:p>
          <w:p>
            <w:pPr>
              <w:jc w:val="center"/>
              <w:rPr>
                <w:rFonts w:ascii="仿宋_GB2312" w:hAnsi="Arial" w:eastAsia="仿宋_GB2312" w:cs="仿宋_GB2312"/>
                <w:spacing w:val="8"/>
                <w:kern w:val="0"/>
                <w:szCs w:val="21"/>
              </w:rPr>
            </w:pPr>
            <w:r>
              <w:rPr>
                <w:rFonts w:hint="eastAsia" w:ascii="仿宋_GB2312" w:hAnsi="Arial" w:eastAsia="仿宋_GB2312" w:cs="仿宋_GB2312"/>
                <w:spacing w:val="8"/>
                <w:kern w:val="0"/>
                <w:szCs w:val="21"/>
              </w:rPr>
              <w:t>推进</w:t>
            </w:r>
          </w:p>
        </w:tc>
        <w:tc>
          <w:tcPr>
            <w:tcW w:w="2065" w:type="dxa"/>
            <w:vAlign w:val="center"/>
          </w:tcPr>
          <w:p>
            <w:pPr>
              <w:rPr>
                <w:rFonts w:ascii="仿宋_GB2312" w:hAnsi="Arial" w:eastAsia="仿宋_GB2312" w:cs="仿宋_GB2312"/>
                <w:spacing w:val="8"/>
                <w:kern w:val="0"/>
                <w:szCs w:val="21"/>
              </w:rPr>
            </w:pPr>
            <w:r>
              <w:rPr>
                <w:rFonts w:hint="eastAsia"/>
                <w:szCs w:val="21"/>
              </w:rPr>
              <w:t>2020年取得阶段性成效，后期需持续推进</w:t>
            </w:r>
          </w:p>
        </w:tc>
      </w:tr>
    </w:tbl>
    <w:p/>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9A625"/>
    <w:multiLevelType w:val="singleLevel"/>
    <w:tmpl w:val="5FE9A62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A6345"/>
    <w:rsid w:val="0034085B"/>
    <w:rsid w:val="00941538"/>
    <w:rsid w:val="00E247FD"/>
    <w:rsid w:val="457E511E"/>
    <w:rsid w:val="501A63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山东省科技厅</Company>
  <Pages>1</Pages>
  <Words>641</Words>
  <Characters>3658</Characters>
  <Lines>30</Lines>
  <Paragraphs>8</Paragraphs>
  <TotalTime>18</TotalTime>
  <ScaleCrop>false</ScaleCrop>
  <LinksUpToDate>false</LinksUpToDate>
  <CharactersWithSpaces>4291</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2020-12-28T09:06:00Z</dcterms:created>
  <dc:creator>兰庚</dc:creator>
  <cp:lastModifiedBy>chenva10</cp:lastModifiedBy>
  <dcterms:modified xsi:type="dcterms:W3CDTF">2020-12-29T07:31:16Z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