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eastAsia="黑体"/>
          <w:b w:val="0"/>
          <w:bCs/>
          <w:sz w:val="32"/>
          <w:szCs w:val="32"/>
        </w:rPr>
      </w:pPr>
      <w:r>
        <w:rPr>
          <w:rFonts w:eastAsia="黑体"/>
          <w:b w:val="0"/>
          <w:bCs/>
          <w:sz w:val="32"/>
          <w:szCs w:val="32"/>
        </w:rPr>
        <w:t>附件</w:t>
      </w:r>
    </w:p>
    <w:p>
      <w:pPr>
        <w:spacing w:line="560" w:lineRule="exact"/>
        <w:jc w:val="center"/>
        <w:rPr>
          <w:rFonts w:eastAsia="方正小标宋简体"/>
          <w:b w:val="0"/>
          <w:bCs/>
          <w:sz w:val="44"/>
          <w:szCs w:val="44"/>
        </w:rPr>
      </w:pPr>
      <w:r>
        <w:rPr>
          <w:rFonts w:hint="eastAsia" w:eastAsia="方正小标宋简体"/>
          <w:b w:val="0"/>
          <w:bCs/>
          <w:sz w:val="44"/>
          <w:szCs w:val="44"/>
        </w:rPr>
        <w:t>2023年</w:t>
      </w:r>
      <w:r>
        <w:rPr>
          <w:rFonts w:eastAsia="方正小标宋简体"/>
          <w:b w:val="0"/>
          <w:bCs/>
          <w:sz w:val="44"/>
          <w:szCs w:val="44"/>
        </w:rPr>
        <w:t>科技创新强县评价指标</w:t>
      </w:r>
    </w:p>
    <w:p>
      <w:pPr>
        <w:spacing w:line="560" w:lineRule="exact"/>
        <w:jc w:val="center"/>
        <w:rPr>
          <w:rFonts w:eastAsia="方正小标宋简体"/>
          <w:b w:val="0"/>
          <w:bCs/>
          <w:sz w:val="44"/>
          <w:szCs w:val="44"/>
        </w:rPr>
      </w:pPr>
      <w:r>
        <w:rPr>
          <w:rFonts w:eastAsia="方正小标宋简体"/>
          <w:b w:val="0"/>
          <w:bCs/>
          <w:sz w:val="44"/>
          <w:szCs w:val="44"/>
        </w:rPr>
        <w:t>及测评认定方法</w:t>
      </w:r>
    </w:p>
    <w:p>
      <w:pPr>
        <w:spacing w:line="560" w:lineRule="exact"/>
        <w:jc w:val="center"/>
        <w:rPr>
          <w:rFonts w:eastAsia="楷体_GB2312"/>
          <w:b w:val="0"/>
          <w:bCs/>
          <w:sz w:val="32"/>
          <w:szCs w:val="32"/>
        </w:rPr>
      </w:pPr>
    </w:p>
    <w:p>
      <w:pPr>
        <w:overflowPunct/>
        <w:autoSpaceDE w:val="0"/>
        <w:autoSpaceDN w:val="0"/>
        <w:adjustRightInd w:val="0"/>
        <w:snapToGrid w:val="0"/>
        <w:spacing w:line="560" w:lineRule="exact"/>
        <w:ind w:firstLine="640" w:firstLineChars="200"/>
        <w:jc w:val="left"/>
        <w:rPr>
          <w:rFonts w:eastAsia="黑体"/>
          <w:b w:val="0"/>
          <w:kern w:val="0"/>
          <w:sz w:val="32"/>
          <w:szCs w:val="32"/>
        </w:rPr>
      </w:pPr>
      <w:r>
        <w:rPr>
          <w:rFonts w:eastAsia="黑体"/>
          <w:b w:val="0"/>
          <w:kern w:val="0"/>
          <w:sz w:val="32"/>
          <w:szCs w:val="32"/>
        </w:rPr>
        <w:t>一、指标设定</w:t>
      </w:r>
    </w:p>
    <w:p>
      <w:pPr>
        <w:overflowPunct/>
        <w:autoSpaceDE w:val="0"/>
        <w:autoSpaceDN w:val="0"/>
        <w:adjustRightInd w:val="0"/>
        <w:snapToGrid w:val="0"/>
        <w:spacing w:after="234" w:afterLines="50" w:line="560" w:lineRule="exact"/>
        <w:ind w:firstLine="640" w:firstLineChars="200"/>
        <w:rPr>
          <w:b w:val="0"/>
          <w:kern w:val="0"/>
          <w:sz w:val="32"/>
          <w:szCs w:val="32"/>
        </w:rPr>
      </w:pPr>
      <w:r>
        <w:rPr>
          <w:b w:val="0"/>
          <w:kern w:val="0"/>
          <w:sz w:val="32"/>
          <w:szCs w:val="32"/>
        </w:rPr>
        <w:t>按照支持先进、鼓励后进的原则，选定上年度全社会R&amp;D经费内部支出、全社会R&amp;D经费内部支出较上年增长率等14项正向指标以及“一票否决”事项指标。</w:t>
      </w:r>
    </w:p>
    <w:p>
      <w:pPr>
        <w:spacing w:after="234" w:afterLines="50" w:line="640" w:lineRule="exact"/>
        <w:jc w:val="center"/>
        <w:rPr>
          <w:rFonts w:eastAsia="方正小标宋简体"/>
          <w:b w:val="0"/>
          <w:bCs/>
          <w:sz w:val="44"/>
          <w:szCs w:val="44"/>
        </w:rPr>
      </w:pPr>
      <w:r>
        <w:rPr>
          <w:rFonts w:eastAsia="黑体"/>
          <w:b w:val="0"/>
          <w:kern w:val="0"/>
          <w:sz w:val="32"/>
          <w:szCs w:val="32"/>
        </w:rPr>
        <w:t>科技创新强县评价指标体系</w:t>
      </w:r>
    </w:p>
    <w:tbl>
      <w:tblPr>
        <w:tblStyle w:val="5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2977"/>
        <w:gridCol w:w="709"/>
        <w:gridCol w:w="2427"/>
        <w:gridCol w:w="1275"/>
        <w:gridCol w:w="1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tblHeader/>
          <w:jc w:val="center"/>
        </w:trPr>
        <w:tc>
          <w:tcPr>
            <w:tcW w:w="686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60" w:lineRule="exact"/>
              <w:ind w:left="-180" w:leftChars="-53" w:right="-173" w:rightChars="-51"/>
              <w:jc w:val="center"/>
              <w:rPr>
                <w:rFonts w:eastAsia="黑体"/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rFonts w:eastAsia="黑体"/>
                <w:b w:val="0"/>
                <w:color w:val="000000"/>
                <w:kern w:val="0"/>
                <w:sz w:val="24"/>
                <w:szCs w:val="20"/>
              </w:rPr>
              <w:t>序号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60" w:lineRule="exact"/>
              <w:jc w:val="center"/>
              <w:rPr>
                <w:rFonts w:eastAsia="黑体"/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rFonts w:eastAsia="黑体"/>
                <w:b w:val="0"/>
                <w:color w:val="000000"/>
                <w:kern w:val="0"/>
                <w:sz w:val="24"/>
                <w:szCs w:val="20"/>
              </w:rPr>
              <w:t>指标名称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60" w:lineRule="exact"/>
              <w:jc w:val="center"/>
              <w:rPr>
                <w:rFonts w:eastAsia="黑体"/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rFonts w:eastAsia="黑体"/>
                <w:b w:val="0"/>
                <w:color w:val="000000"/>
                <w:kern w:val="0"/>
                <w:sz w:val="24"/>
                <w:szCs w:val="20"/>
              </w:rPr>
              <w:t>指标性质</w:t>
            </w:r>
          </w:p>
        </w:tc>
        <w:tc>
          <w:tcPr>
            <w:tcW w:w="2427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60" w:lineRule="exact"/>
              <w:jc w:val="center"/>
              <w:rPr>
                <w:rFonts w:eastAsia="黑体"/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rFonts w:eastAsia="黑体"/>
                <w:b w:val="0"/>
                <w:color w:val="000000"/>
                <w:kern w:val="0"/>
                <w:sz w:val="24"/>
                <w:szCs w:val="20"/>
              </w:rPr>
              <w:t>评分标准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60" w:lineRule="exact"/>
              <w:jc w:val="center"/>
              <w:rPr>
                <w:rFonts w:eastAsia="黑体"/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rFonts w:eastAsia="黑体"/>
                <w:b w:val="0"/>
                <w:color w:val="000000"/>
                <w:kern w:val="0"/>
                <w:sz w:val="24"/>
                <w:szCs w:val="20"/>
              </w:rPr>
              <w:t>数据来源</w:t>
            </w:r>
          </w:p>
        </w:tc>
        <w:tc>
          <w:tcPr>
            <w:tcW w:w="1135" w:type="dxa"/>
          </w:tcPr>
          <w:p>
            <w:pPr>
              <w:widowControl/>
              <w:overflowPunct/>
              <w:adjustRightInd w:val="0"/>
              <w:snapToGrid w:val="0"/>
              <w:spacing w:line="360" w:lineRule="exact"/>
              <w:jc w:val="center"/>
              <w:rPr>
                <w:rFonts w:eastAsia="黑体"/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rFonts w:eastAsia="黑体"/>
                <w:b w:val="0"/>
                <w:color w:val="000000"/>
                <w:kern w:val="0"/>
                <w:sz w:val="24"/>
                <w:szCs w:val="20"/>
              </w:rPr>
              <w:t>权重</w:t>
            </w:r>
          </w:p>
          <w:p>
            <w:pPr>
              <w:widowControl/>
              <w:overflowPunct/>
              <w:adjustRightInd w:val="0"/>
              <w:snapToGrid w:val="0"/>
              <w:spacing w:line="360" w:lineRule="exact"/>
              <w:jc w:val="center"/>
              <w:rPr>
                <w:rFonts w:eastAsia="黑体"/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rFonts w:eastAsia="黑体"/>
                <w:b w:val="0"/>
                <w:color w:val="000000"/>
                <w:kern w:val="0"/>
                <w:sz w:val="24"/>
                <w:szCs w:val="20"/>
              </w:rPr>
              <w:t>（100）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686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ind w:left="-180" w:leftChars="-53" w:right="-173" w:rightChars="-51"/>
              <w:jc w:val="center"/>
              <w:rPr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b w:val="0"/>
                <w:color w:val="000000"/>
                <w:kern w:val="0"/>
                <w:sz w:val="24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left"/>
              <w:rPr>
                <w:rFonts w:ascii="仿宋_GB2312"/>
                <w:b w:val="0"/>
                <w:sz w:val="21"/>
                <w:szCs w:val="20"/>
              </w:rPr>
            </w:pPr>
            <w:r>
              <w:rPr>
                <w:rFonts w:hint="eastAsia" w:ascii="仿宋_GB2312"/>
                <w:b w:val="0"/>
                <w:sz w:val="21"/>
                <w:szCs w:val="20"/>
              </w:rPr>
              <w:t>全社会R&amp;D经费内部支出（万元）及占GDP的比重（%）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kern w:val="0"/>
                <w:sz w:val="24"/>
                <w:szCs w:val="20"/>
              </w:rPr>
            </w:pPr>
            <w:r>
              <w:rPr>
                <w:rFonts w:hint="eastAsia" w:ascii="仿宋_GB2312"/>
                <w:b w:val="0"/>
                <w:kern w:val="0"/>
                <w:sz w:val="24"/>
                <w:szCs w:val="20"/>
              </w:rPr>
              <w:t>正向</w:t>
            </w:r>
          </w:p>
        </w:tc>
        <w:tc>
          <w:tcPr>
            <w:tcW w:w="242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功效系数法评价（6</w:t>
            </w:r>
            <w:r>
              <w:rPr>
                <w:rFonts w:ascii="仿宋_GB2312"/>
                <w:b w:val="0"/>
                <w:color w:val="000000"/>
                <w:kern w:val="0"/>
                <w:sz w:val="21"/>
                <w:szCs w:val="21"/>
              </w:rPr>
              <w:t>:</w:t>
            </w: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4）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省统计局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eastAsia="仿宋"/>
                <w:b w:val="0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686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ind w:left="-180" w:leftChars="-53" w:right="-173" w:rightChars="-51"/>
              <w:jc w:val="center"/>
              <w:rPr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b w:val="0"/>
                <w:color w:val="000000"/>
                <w:kern w:val="0"/>
                <w:sz w:val="24"/>
                <w:szCs w:val="20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left"/>
              <w:rPr>
                <w:rFonts w:ascii="仿宋_GB2312"/>
                <w:b w:val="0"/>
                <w:sz w:val="21"/>
                <w:szCs w:val="20"/>
              </w:rPr>
            </w:pPr>
            <w:r>
              <w:rPr>
                <w:rFonts w:hint="eastAsia" w:ascii="仿宋_GB2312"/>
                <w:b w:val="0"/>
                <w:sz w:val="21"/>
                <w:szCs w:val="20"/>
              </w:rPr>
              <w:t>全社会R&amp;D经费内部支出较上年增长率（%）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kern w:val="0"/>
                <w:sz w:val="24"/>
                <w:szCs w:val="20"/>
              </w:rPr>
            </w:pPr>
            <w:r>
              <w:rPr>
                <w:rFonts w:hint="eastAsia" w:ascii="仿宋_GB2312"/>
                <w:b w:val="0"/>
                <w:kern w:val="0"/>
                <w:sz w:val="24"/>
                <w:szCs w:val="20"/>
              </w:rPr>
              <w:t>正向</w:t>
            </w:r>
          </w:p>
        </w:tc>
        <w:tc>
          <w:tcPr>
            <w:tcW w:w="242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功效系数法评价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sz w:val="21"/>
                <w:szCs w:val="21"/>
              </w:rPr>
              <w:t>省统计局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eastAsia="仿宋"/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eastAsia="仿宋"/>
                <w:b w:val="0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686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ind w:left="-180" w:leftChars="-53" w:right="-173" w:rightChars="-51"/>
              <w:jc w:val="center"/>
              <w:rPr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b w:val="0"/>
                <w:color w:val="000000"/>
                <w:kern w:val="0"/>
                <w:sz w:val="24"/>
                <w:szCs w:val="20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left"/>
              <w:rPr>
                <w:rFonts w:ascii="仿宋_GB2312"/>
                <w:b w:val="0"/>
                <w:sz w:val="21"/>
                <w:szCs w:val="20"/>
              </w:rPr>
            </w:pPr>
            <w:r>
              <w:rPr>
                <w:rFonts w:hint="eastAsia" w:ascii="仿宋_GB2312"/>
                <w:b w:val="0"/>
                <w:sz w:val="21"/>
                <w:szCs w:val="20"/>
              </w:rPr>
              <w:t>规上工业企业每万名就业人员中研发人员数（人年/万人）及提高幅度（人年）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kern w:val="0"/>
                <w:sz w:val="24"/>
                <w:szCs w:val="20"/>
              </w:rPr>
            </w:pPr>
            <w:r>
              <w:rPr>
                <w:rFonts w:hint="eastAsia" w:ascii="仿宋_GB2312"/>
                <w:b w:val="0"/>
                <w:kern w:val="0"/>
                <w:sz w:val="24"/>
                <w:szCs w:val="20"/>
              </w:rPr>
              <w:t>正向</w:t>
            </w:r>
          </w:p>
        </w:tc>
        <w:tc>
          <w:tcPr>
            <w:tcW w:w="242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功效系数法评价（6</w:t>
            </w:r>
            <w:r>
              <w:rPr>
                <w:rFonts w:ascii="仿宋_GB2312"/>
                <w:b w:val="0"/>
                <w:color w:val="000000"/>
                <w:kern w:val="0"/>
                <w:sz w:val="21"/>
                <w:szCs w:val="21"/>
              </w:rPr>
              <w:t>:</w:t>
            </w: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4）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省统计局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eastAsia="仿宋"/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eastAsia="仿宋"/>
                <w:b w:val="0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686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ind w:left="-180" w:leftChars="-53" w:right="-173" w:rightChars="-51"/>
              <w:jc w:val="center"/>
              <w:rPr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b w:val="0"/>
                <w:color w:val="000000"/>
                <w:kern w:val="0"/>
                <w:sz w:val="24"/>
                <w:szCs w:val="20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left"/>
              <w:rPr>
                <w:rFonts w:ascii="仿宋_GB2312"/>
                <w:b w:val="0"/>
                <w:sz w:val="21"/>
                <w:szCs w:val="20"/>
              </w:rPr>
            </w:pPr>
            <w:r>
              <w:rPr>
                <w:rFonts w:hint="eastAsia" w:ascii="仿宋_GB2312"/>
                <w:b w:val="0"/>
                <w:sz w:val="21"/>
                <w:szCs w:val="20"/>
              </w:rPr>
              <w:t>规上工业企业R&amp;D经费内部支出占营业收入的比重（%）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kern w:val="0"/>
                <w:sz w:val="24"/>
                <w:szCs w:val="20"/>
              </w:rPr>
            </w:pPr>
            <w:r>
              <w:rPr>
                <w:rFonts w:hint="eastAsia" w:ascii="仿宋_GB2312"/>
                <w:b w:val="0"/>
                <w:kern w:val="0"/>
                <w:sz w:val="24"/>
                <w:szCs w:val="20"/>
              </w:rPr>
              <w:t>正向</w:t>
            </w:r>
          </w:p>
        </w:tc>
        <w:tc>
          <w:tcPr>
            <w:tcW w:w="242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color w:val="FF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功效系数法评价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省统计局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eastAsia="仿宋"/>
                <w:b w:val="0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686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ind w:left="-180" w:leftChars="-53" w:right="-173" w:rightChars="-51"/>
              <w:jc w:val="center"/>
              <w:rPr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b w:val="0"/>
                <w:color w:val="000000"/>
                <w:kern w:val="0"/>
                <w:sz w:val="24"/>
                <w:szCs w:val="20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left"/>
              <w:rPr>
                <w:rFonts w:ascii="仿宋_GB2312"/>
                <w:b w:val="0"/>
                <w:sz w:val="21"/>
                <w:szCs w:val="20"/>
              </w:rPr>
            </w:pPr>
            <w:r>
              <w:rPr>
                <w:rFonts w:hint="eastAsia" w:ascii="仿宋_GB2312"/>
                <w:b w:val="0"/>
                <w:sz w:val="21"/>
                <w:szCs w:val="20"/>
              </w:rPr>
              <w:t>每亿元GDP享受增值税减免政策的技术交易额（万元）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/>
                <w:b w:val="0"/>
                <w:kern w:val="0"/>
                <w:sz w:val="24"/>
                <w:szCs w:val="20"/>
              </w:rPr>
              <w:t>正向</w:t>
            </w:r>
          </w:p>
        </w:tc>
        <w:tc>
          <w:tcPr>
            <w:tcW w:w="242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功效系数法评价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省科技厅、省税务局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eastAsia="仿宋"/>
                <w:b w:val="0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686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ind w:left="-180" w:leftChars="-53" w:right="-173" w:rightChars="-51"/>
              <w:jc w:val="center"/>
              <w:rPr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b w:val="0"/>
                <w:color w:val="000000"/>
                <w:kern w:val="0"/>
                <w:sz w:val="24"/>
                <w:szCs w:val="20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left"/>
              <w:rPr>
                <w:rFonts w:ascii="仿宋_GB2312"/>
                <w:b w:val="0"/>
                <w:sz w:val="21"/>
                <w:szCs w:val="20"/>
              </w:rPr>
            </w:pPr>
            <w:r>
              <w:rPr>
                <w:rFonts w:hint="eastAsia" w:ascii="仿宋_GB2312"/>
                <w:b w:val="0"/>
                <w:sz w:val="21"/>
                <w:szCs w:val="20"/>
              </w:rPr>
              <w:t>万人有效发明专利拥有量（件/万人）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/>
                <w:b w:val="0"/>
                <w:kern w:val="0"/>
                <w:sz w:val="24"/>
                <w:szCs w:val="20"/>
              </w:rPr>
              <w:t>正向</w:t>
            </w:r>
          </w:p>
        </w:tc>
        <w:tc>
          <w:tcPr>
            <w:tcW w:w="242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功效系数法评价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省市场监管局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eastAsia="仿宋"/>
                <w:b w:val="0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686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ind w:left="-180" w:leftChars="-53" w:right="-173" w:rightChars="-51"/>
              <w:jc w:val="center"/>
              <w:rPr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b w:val="0"/>
                <w:color w:val="000000"/>
                <w:kern w:val="0"/>
                <w:sz w:val="24"/>
                <w:szCs w:val="20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left"/>
              <w:rPr>
                <w:rFonts w:ascii="仿宋_GB2312"/>
                <w:b w:val="0"/>
                <w:sz w:val="21"/>
                <w:szCs w:val="20"/>
              </w:rPr>
            </w:pPr>
            <w:r>
              <w:rPr>
                <w:rFonts w:hint="eastAsia" w:ascii="仿宋_GB2312"/>
                <w:b w:val="0"/>
                <w:sz w:val="21"/>
                <w:szCs w:val="20"/>
              </w:rPr>
              <w:t>规上工业企业新产品销售收入占营业收入比重（%）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kern w:val="0"/>
                <w:sz w:val="24"/>
                <w:szCs w:val="20"/>
              </w:rPr>
            </w:pPr>
            <w:r>
              <w:rPr>
                <w:rFonts w:hint="eastAsia" w:ascii="仿宋_GB2312"/>
                <w:b w:val="0"/>
                <w:kern w:val="0"/>
                <w:sz w:val="24"/>
                <w:szCs w:val="20"/>
              </w:rPr>
              <w:t>正向</w:t>
            </w:r>
          </w:p>
        </w:tc>
        <w:tc>
          <w:tcPr>
            <w:tcW w:w="242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功效系数法评价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省统计局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eastAsia="仿宋"/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eastAsia="仿宋"/>
                <w:b w:val="0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686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ind w:left="-180" w:leftChars="-53" w:right="-173" w:rightChars="-51"/>
              <w:jc w:val="center"/>
              <w:rPr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b w:val="0"/>
                <w:color w:val="000000"/>
                <w:kern w:val="0"/>
                <w:sz w:val="24"/>
                <w:szCs w:val="20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left"/>
              <w:rPr>
                <w:rFonts w:ascii="仿宋_GB2312"/>
                <w:b w:val="0"/>
                <w:sz w:val="21"/>
                <w:szCs w:val="20"/>
              </w:rPr>
            </w:pPr>
            <w:r>
              <w:rPr>
                <w:rFonts w:hint="eastAsia" w:ascii="仿宋_GB2312"/>
                <w:b w:val="0"/>
                <w:sz w:val="21"/>
                <w:szCs w:val="20"/>
              </w:rPr>
              <w:t>万元GDP能耗下降率（%）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kern w:val="0"/>
                <w:sz w:val="24"/>
                <w:szCs w:val="20"/>
              </w:rPr>
            </w:pPr>
            <w:r>
              <w:rPr>
                <w:rFonts w:hint="eastAsia" w:ascii="仿宋_GB2312"/>
                <w:b w:val="0"/>
                <w:kern w:val="0"/>
                <w:sz w:val="24"/>
                <w:szCs w:val="20"/>
              </w:rPr>
              <w:t>正向</w:t>
            </w:r>
          </w:p>
        </w:tc>
        <w:tc>
          <w:tcPr>
            <w:tcW w:w="242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功效系数法评价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省统计局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eastAsia="仿宋"/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eastAsia="仿宋"/>
                <w:b w:val="0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686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ind w:left="-180" w:leftChars="-53" w:right="-173" w:rightChars="-51"/>
              <w:jc w:val="center"/>
              <w:rPr>
                <w:b w:val="0"/>
                <w:color w:val="000000"/>
                <w:kern w:val="0"/>
                <w:sz w:val="24"/>
                <w:szCs w:val="20"/>
              </w:rPr>
            </w:pPr>
            <w:bookmarkStart w:id="0" w:name="_Hlk149667855"/>
            <w:r>
              <w:rPr>
                <w:b w:val="0"/>
                <w:color w:val="000000"/>
                <w:kern w:val="0"/>
                <w:sz w:val="24"/>
                <w:szCs w:val="20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left"/>
              <w:rPr>
                <w:rFonts w:ascii="仿宋_GB2312"/>
                <w:b w:val="0"/>
                <w:sz w:val="21"/>
                <w:szCs w:val="20"/>
              </w:rPr>
            </w:pPr>
            <w:r>
              <w:rPr>
                <w:rFonts w:hint="eastAsia" w:ascii="仿宋_GB2312"/>
                <w:b w:val="0"/>
                <w:sz w:val="21"/>
                <w:szCs w:val="20"/>
              </w:rPr>
              <w:t>规上高新技术产业产值占规上工业产值比重（%）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/>
                <w:b w:val="0"/>
                <w:kern w:val="0"/>
                <w:sz w:val="24"/>
                <w:szCs w:val="20"/>
              </w:rPr>
              <w:t>正向</w:t>
            </w:r>
          </w:p>
        </w:tc>
        <w:tc>
          <w:tcPr>
            <w:tcW w:w="242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功效系数法评价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省统计局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eastAsia="仿宋"/>
                <w:b w:val="0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686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ind w:left="-180" w:leftChars="-53" w:right="-173" w:rightChars="-51"/>
              <w:jc w:val="center"/>
              <w:rPr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b w:val="0"/>
                <w:color w:val="000000"/>
                <w:kern w:val="0"/>
                <w:sz w:val="24"/>
                <w:szCs w:val="20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left"/>
              <w:rPr>
                <w:rFonts w:ascii="仿宋_GB2312"/>
                <w:b w:val="0"/>
                <w:sz w:val="21"/>
                <w:szCs w:val="20"/>
              </w:rPr>
            </w:pPr>
            <w:r>
              <w:rPr>
                <w:rFonts w:hint="eastAsia" w:ascii="仿宋_GB2312"/>
                <w:b w:val="0"/>
                <w:sz w:val="21"/>
                <w:szCs w:val="20"/>
              </w:rPr>
              <w:t>“四新”经济增加值占比（%）及增加值增速（%）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/>
                <w:b w:val="0"/>
                <w:kern w:val="0"/>
                <w:sz w:val="24"/>
                <w:szCs w:val="20"/>
              </w:rPr>
              <w:t>正向</w:t>
            </w:r>
          </w:p>
        </w:tc>
        <w:tc>
          <w:tcPr>
            <w:tcW w:w="242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功效系数法评价（6</w:t>
            </w:r>
            <w:r>
              <w:rPr>
                <w:rFonts w:ascii="仿宋_GB2312"/>
                <w:b w:val="0"/>
                <w:color w:val="000000"/>
                <w:kern w:val="0"/>
                <w:sz w:val="21"/>
                <w:szCs w:val="21"/>
              </w:rPr>
              <w:t>:</w:t>
            </w: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4）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省统计局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eastAsia="仿宋"/>
                <w:b w:val="0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686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ind w:left="-180" w:leftChars="-53" w:right="-173" w:rightChars="-51"/>
              <w:jc w:val="center"/>
              <w:rPr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b w:val="0"/>
                <w:color w:val="000000"/>
                <w:kern w:val="0"/>
                <w:sz w:val="24"/>
                <w:szCs w:val="20"/>
              </w:rPr>
              <w:t>11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left"/>
              <w:rPr>
                <w:rFonts w:ascii="仿宋_GB2312"/>
                <w:b w:val="0"/>
                <w:sz w:val="21"/>
                <w:szCs w:val="20"/>
              </w:rPr>
            </w:pPr>
            <w:r>
              <w:rPr>
                <w:rFonts w:hint="eastAsia" w:ascii="仿宋_GB2312"/>
                <w:b w:val="0"/>
                <w:sz w:val="21"/>
                <w:szCs w:val="20"/>
              </w:rPr>
              <w:t>企业享受研发经费加计扣除优惠政策获得的税收减免额（万元）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/>
                <w:b w:val="0"/>
                <w:kern w:val="0"/>
                <w:sz w:val="24"/>
                <w:szCs w:val="20"/>
              </w:rPr>
              <w:t>正向</w:t>
            </w:r>
          </w:p>
        </w:tc>
        <w:tc>
          <w:tcPr>
            <w:tcW w:w="242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功效系数法评价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省税务局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eastAsia="仿宋"/>
                <w:b w:val="0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686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ind w:left="-180" w:leftChars="-53" w:right="-173" w:rightChars="-51"/>
              <w:jc w:val="center"/>
              <w:rPr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b w:val="0"/>
                <w:color w:val="000000"/>
                <w:kern w:val="0"/>
                <w:sz w:val="24"/>
                <w:szCs w:val="20"/>
              </w:rPr>
              <w:t>12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left"/>
              <w:rPr>
                <w:rFonts w:ascii="仿宋_GB2312"/>
                <w:b w:val="0"/>
                <w:sz w:val="21"/>
                <w:szCs w:val="20"/>
              </w:rPr>
            </w:pPr>
            <w:r>
              <w:rPr>
                <w:rFonts w:hint="eastAsia" w:ascii="仿宋_GB2312"/>
                <w:b w:val="0"/>
                <w:sz w:val="21"/>
                <w:szCs w:val="20"/>
              </w:rPr>
              <w:t>千家市场主体登记企业中科技型中小企业入库数量（家）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0"/>
              </w:rPr>
            </w:pPr>
            <w:r>
              <w:rPr>
                <w:rFonts w:hint="eastAsia" w:ascii="仿宋_GB2312"/>
                <w:b w:val="0"/>
                <w:sz w:val="21"/>
                <w:szCs w:val="20"/>
              </w:rPr>
              <w:t>正向</w:t>
            </w:r>
          </w:p>
        </w:tc>
        <w:tc>
          <w:tcPr>
            <w:tcW w:w="242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功效系数法评价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省科技厅、省市场监管局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b w:val="0"/>
                <w:sz w:val="21"/>
                <w:szCs w:val="21"/>
              </w:rPr>
            </w:pPr>
            <w:r>
              <w:rPr>
                <w:rFonts w:eastAsia="仿宋"/>
                <w:b w:val="0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686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ind w:left="-180" w:leftChars="-53" w:right="-173" w:rightChars="-51"/>
              <w:jc w:val="center"/>
              <w:rPr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b w:val="0"/>
                <w:color w:val="000000"/>
                <w:kern w:val="0"/>
                <w:sz w:val="24"/>
                <w:szCs w:val="20"/>
              </w:rPr>
              <w:t>13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left"/>
              <w:rPr>
                <w:rFonts w:ascii="仿宋_GB2312"/>
                <w:b w:val="0"/>
                <w:sz w:val="21"/>
                <w:szCs w:val="20"/>
              </w:rPr>
            </w:pPr>
            <w:r>
              <w:rPr>
                <w:rFonts w:hint="eastAsia" w:ascii="仿宋_GB2312"/>
                <w:b w:val="0"/>
                <w:sz w:val="21"/>
                <w:szCs w:val="20"/>
              </w:rPr>
              <w:t>规上工业企业中有研发活动企业占比（%）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0"/>
              </w:rPr>
            </w:pPr>
            <w:r>
              <w:rPr>
                <w:rFonts w:hint="eastAsia" w:ascii="仿宋_GB2312"/>
                <w:b w:val="0"/>
                <w:sz w:val="21"/>
                <w:szCs w:val="20"/>
              </w:rPr>
              <w:t>正向</w:t>
            </w:r>
          </w:p>
        </w:tc>
        <w:tc>
          <w:tcPr>
            <w:tcW w:w="242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功效系数法评价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省统计局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b w:val="0"/>
                <w:sz w:val="21"/>
                <w:szCs w:val="21"/>
              </w:rPr>
            </w:pPr>
            <w:r>
              <w:rPr>
                <w:rFonts w:eastAsia="仿宋"/>
                <w:b w:val="0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686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ind w:left="-180" w:leftChars="-53" w:right="-173" w:rightChars="-51"/>
              <w:jc w:val="center"/>
              <w:rPr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b w:val="0"/>
                <w:color w:val="000000"/>
                <w:kern w:val="0"/>
                <w:sz w:val="24"/>
                <w:szCs w:val="20"/>
              </w:rPr>
              <w:t>14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left"/>
              <w:rPr>
                <w:rFonts w:ascii="仿宋_GB2312"/>
                <w:b w:val="0"/>
                <w:sz w:val="21"/>
                <w:szCs w:val="20"/>
              </w:rPr>
            </w:pPr>
            <w:r>
              <w:rPr>
                <w:rFonts w:hint="eastAsia" w:ascii="仿宋_GB2312"/>
                <w:b w:val="0"/>
                <w:sz w:val="21"/>
                <w:szCs w:val="20"/>
              </w:rPr>
              <w:t>高新技术企业数（家）及增长率（%）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0"/>
              </w:rPr>
            </w:pPr>
            <w:r>
              <w:rPr>
                <w:rFonts w:hint="eastAsia" w:ascii="仿宋_GB2312"/>
                <w:b w:val="0"/>
                <w:sz w:val="21"/>
                <w:szCs w:val="20"/>
              </w:rPr>
              <w:t>正向</w:t>
            </w:r>
          </w:p>
        </w:tc>
        <w:tc>
          <w:tcPr>
            <w:tcW w:w="2427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功效系数法评价（6</w:t>
            </w:r>
            <w:r>
              <w:rPr>
                <w:rFonts w:ascii="仿宋_GB2312"/>
                <w:b w:val="0"/>
                <w:color w:val="000000"/>
                <w:kern w:val="0"/>
                <w:sz w:val="21"/>
                <w:szCs w:val="21"/>
              </w:rPr>
              <w:t>:</w:t>
            </w: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4）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color w:val="000000"/>
                <w:kern w:val="0"/>
                <w:sz w:val="21"/>
                <w:szCs w:val="21"/>
              </w:rPr>
              <w:t>省科技厅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b w:val="0"/>
                <w:sz w:val="21"/>
                <w:szCs w:val="21"/>
              </w:rPr>
            </w:pPr>
            <w:r>
              <w:rPr>
                <w:rFonts w:eastAsia="仿宋"/>
                <w:b w:val="0"/>
                <w:color w:val="000000"/>
                <w:kern w:val="0"/>
                <w:sz w:val="24"/>
                <w:szCs w:val="24"/>
              </w:rPr>
              <w:t>9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686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ind w:left="-180" w:leftChars="-53" w:right="-173" w:rightChars="-51"/>
              <w:jc w:val="center"/>
              <w:rPr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b w:val="0"/>
                <w:color w:val="000000"/>
                <w:kern w:val="0"/>
                <w:sz w:val="24"/>
                <w:szCs w:val="20"/>
              </w:rPr>
              <w:t>15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left"/>
              <w:rPr>
                <w:rFonts w:ascii="仿宋_GB2312"/>
                <w:b w:val="0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/>
                <w:b w:val="0"/>
                <w:kern w:val="0"/>
                <w:sz w:val="24"/>
                <w:szCs w:val="20"/>
              </w:rPr>
              <w:t>约束条件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rFonts w:ascii="仿宋_GB2312"/>
                <w:b w:val="0"/>
                <w:sz w:val="21"/>
                <w:szCs w:val="20"/>
              </w:rPr>
            </w:pPr>
            <w:r>
              <w:rPr>
                <w:rFonts w:hint="eastAsia" w:ascii="仿宋_GB2312"/>
                <w:b w:val="0"/>
                <w:sz w:val="21"/>
                <w:szCs w:val="20"/>
              </w:rPr>
              <w:t>一票否决</w:t>
            </w:r>
          </w:p>
        </w:tc>
        <w:tc>
          <w:tcPr>
            <w:tcW w:w="2427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left"/>
              <w:rPr>
                <w:rFonts w:ascii="仿宋_GB2312"/>
                <w:b w:val="0"/>
                <w:sz w:val="21"/>
                <w:szCs w:val="20"/>
              </w:rPr>
            </w:pPr>
            <w:r>
              <w:rPr>
                <w:rFonts w:hint="eastAsia" w:ascii="仿宋_GB2312"/>
                <w:b w:val="0"/>
                <w:sz w:val="21"/>
                <w:szCs w:val="20"/>
              </w:rPr>
              <w:t>近三年内发生重大及以上生产安全责任事故、重大产品质量事件、重大及以上突发环境事件、统计数据不实问题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240" w:lineRule="auto"/>
              <w:rPr>
                <w:rFonts w:ascii="仿宋_GB2312"/>
                <w:b w:val="0"/>
                <w:sz w:val="21"/>
                <w:szCs w:val="20"/>
              </w:rPr>
            </w:pPr>
            <w:r>
              <w:rPr>
                <w:rFonts w:hint="eastAsia" w:ascii="仿宋_GB2312"/>
                <w:b w:val="0"/>
                <w:sz w:val="21"/>
                <w:szCs w:val="20"/>
              </w:rPr>
              <w:t>省应急厅、省生态环境厅、省统计局、省市场监管局等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overflowPunct/>
              <w:adjustRightInd w:val="0"/>
              <w:snapToGrid w:val="0"/>
              <w:spacing w:line="300" w:lineRule="exact"/>
              <w:jc w:val="center"/>
              <w:rPr>
                <w:b w:val="0"/>
                <w:color w:val="000000"/>
                <w:kern w:val="0"/>
                <w:sz w:val="24"/>
                <w:szCs w:val="20"/>
              </w:rPr>
            </w:pPr>
          </w:p>
        </w:tc>
      </w:tr>
    </w:tbl>
    <w:p>
      <w:pPr>
        <w:overflowPunct/>
        <w:autoSpaceDE w:val="0"/>
        <w:autoSpaceDN w:val="0"/>
        <w:adjustRightInd w:val="0"/>
        <w:snapToGrid w:val="0"/>
        <w:spacing w:before="234" w:beforeLines="50" w:line="560" w:lineRule="exact"/>
        <w:ind w:firstLine="640" w:firstLineChars="200"/>
        <w:jc w:val="left"/>
        <w:rPr>
          <w:rFonts w:eastAsia="黑体"/>
          <w:b w:val="0"/>
          <w:kern w:val="0"/>
          <w:sz w:val="32"/>
          <w:szCs w:val="32"/>
        </w:rPr>
      </w:pPr>
      <w:r>
        <w:rPr>
          <w:rFonts w:eastAsia="黑体"/>
          <w:b w:val="0"/>
          <w:kern w:val="0"/>
          <w:sz w:val="32"/>
          <w:szCs w:val="32"/>
        </w:rPr>
        <w:t>二、指标测算</w:t>
      </w:r>
    </w:p>
    <w:p>
      <w:pPr>
        <w:overflow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b w:val="0"/>
          <w:color w:val="000000"/>
          <w:sz w:val="32"/>
          <w:szCs w:val="32"/>
        </w:rPr>
      </w:pPr>
      <w:r>
        <w:rPr>
          <w:b w:val="0"/>
          <w:color w:val="000000"/>
          <w:sz w:val="32"/>
          <w:szCs w:val="32"/>
        </w:rPr>
        <w:t>第1-14项指标按以下步骤进行测算，第15项指标为“一票否决”项。</w:t>
      </w:r>
    </w:p>
    <w:p>
      <w:pPr>
        <w:overflow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b w:val="0"/>
          <w:color w:val="000000"/>
          <w:sz w:val="32"/>
          <w:szCs w:val="32"/>
        </w:rPr>
      </w:pPr>
      <w:r>
        <w:rPr>
          <w:rFonts w:eastAsia="楷体_GB2312"/>
          <w:b w:val="0"/>
          <w:bCs/>
          <w:color w:val="000000"/>
          <w:sz w:val="32"/>
          <w:szCs w:val="32"/>
        </w:rPr>
        <w:t>步骤一</w:t>
      </w:r>
      <w:r>
        <w:rPr>
          <w:color w:val="000000"/>
          <w:sz w:val="32"/>
          <w:szCs w:val="32"/>
        </w:rPr>
        <w:t>：</w:t>
      </w:r>
      <w:r>
        <w:rPr>
          <w:b w:val="0"/>
          <w:color w:val="000000"/>
          <w:sz w:val="32"/>
          <w:szCs w:val="32"/>
        </w:rPr>
        <w:t>通过功效系数法对单个县（市、区）单项指标值进行标准化处理，计算个体分数。</w:t>
      </w:r>
    </w:p>
    <w:p>
      <w:pPr>
        <w:overflow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b w:val="0"/>
          <w:color w:val="000000"/>
          <w:sz w:val="32"/>
          <w:szCs w:val="32"/>
        </w:rPr>
      </w:pPr>
      <w:r>
        <w:rPr>
          <w:b w:val="0"/>
          <w:color w:val="000000"/>
          <w:sz w:val="32"/>
          <w:szCs w:val="32"/>
        </w:rPr>
        <w:t>正向指标：即指标值越大，得分越高。计算公式为：</w:t>
      </w:r>
    </w:p>
    <w:p>
      <w:pPr>
        <w:spacing w:before="234" w:beforeLines="50" w:after="469" w:afterLines="100" w:line="560" w:lineRule="exact"/>
        <w:jc w:val="center"/>
        <w:rPr>
          <w:b w:val="0"/>
          <w:color w:val="000000"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  <w:b w:val="0"/>
                  <w:i/>
                  <w:color w:val="000000"/>
                  <w:sz w:val="32"/>
                  <w:szCs w:val="32"/>
                </w:rPr>
              </m:ctrlPr>
            </m:sSubPr>
            <m:e>
              <m:r>
                <m:rPr>
                  <m:nor/>
                </m:rPr>
                <w:rPr>
                  <w:b w:val="0"/>
                  <w:i/>
                  <w:iCs/>
                  <w:color w:val="000000"/>
                  <w:sz w:val="32"/>
                  <w:szCs w:val="32"/>
                </w:rPr>
                <m:t>Y</m:t>
              </m:r>
              <m:ctrlPr>
                <w:rPr>
                  <w:rFonts w:ascii="Cambria Math" w:hAnsi="Cambria Math"/>
                  <w:b w:val="0"/>
                  <w:i/>
                  <w:color w:val="000000"/>
                  <w:sz w:val="32"/>
                  <w:szCs w:val="32"/>
                </w:rPr>
              </m:ctrlPr>
            </m:e>
            <m:sub>
              <m:r>
                <m:rPr>
                  <m:nor/>
                  <m:sty m:val="p"/>
                </m:rPr>
                <w:rPr>
                  <w:b w:val="0"/>
                  <w:i w:val="0"/>
                  <w:color w:val="000000"/>
                  <w:sz w:val="32"/>
                  <w:szCs w:val="32"/>
                </w:rPr>
                <m:t>i</m:t>
              </m:r>
              <m:ctrlPr>
                <w:rPr>
                  <w:rFonts w:ascii="Cambria Math" w:hAnsi="Cambria Math"/>
                  <w:b w:val="0"/>
                  <w:i/>
                  <w:color w:val="000000"/>
                  <w:sz w:val="32"/>
                  <w:szCs w:val="32"/>
                </w:rPr>
              </m:ctrlPr>
            </m:sub>
          </m:sSub>
          <m:r>
            <m:rPr>
              <m:nor/>
              <m:sty m:val="p"/>
            </m:rPr>
            <w:rPr>
              <w:b w:val="0"/>
              <w:i w:val="0"/>
              <w:color w:val="000000"/>
              <w:sz w:val="32"/>
              <w:szCs w:val="32"/>
            </w:rPr>
            <m:t>=60+</m:t>
          </m:r>
          <m:f>
            <m:fPr>
              <m:ctrlPr>
                <w:rPr>
                  <w:rFonts w:ascii="Cambria Math" w:hAnsi="Cambria Math"/>
                  <w:b w:val="0"/>
                  <w:i/>
                  <w:color w:val="000000"/>
                  <w:sz w:val="32"/>
                  <w:szCs w:val="3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color w:val="000000"/>
                      <w:sz w:val="32"/>
                      <w:szCs w:val="32"/>
                    </w:rPr>
                  </m:ctrlPr>
                </m:sSubPr>
                <m:e>
                  <m:r>
                    <m:rPr>
                      <m:nor/>
                    </m:rPr>
                    <w:rPr>
                      <w:b w:val="0"/>
                      <w:i/>
                      <w:iCs/>
                      <w:color w:val="000000"/>
                      <w:sz w:val="32"/>
                      <w:szCs w:val="32"/>
                    </w:rPr>
                    <m:t>X</m:t>
                  </m:r>
                  <m:ctrlPr>
                    <w:rPr>
                      <w:rFonts w:ascii="Cambria Math" w:hAnsi="Cambria Math"/>
                      <w:b w:val="0"/>
                      <w:i/>
                      <w:color w:val="000000"/>
                      <w:sz w:val="32"/>
                      <w:szCs w:val="32"/>
                    </w:rPr>
                  </m:ctrlPr>
                </m:e>
                <m:sub>
                  <m:r>
                    <m:rPr>
                      <m:nor/>
                      <m:sty m:val="p"/>
                    </m:rPr>
                    <w:rPr>
                      <w:b w:val="0"/>
                      <w:i w:val="0"/>
                      <w:color w:val="000000"/>
                      <w:sz w:val="32"/>
                      <w:szCs w:val="32"/>
                    </w:rPr>
                    <m:t>i</m:t>
                  </m:r>
                  <m:ctrlPr>
                    <w:rPr>
                      <w:rFonts w:ascii="Cambria Math" w:hAnsi="Cambria Math"/>
                      <w:b w:val="0"/>
                      <w:i/>
                      <w:color w:val="000000"/>
                      <w:sz w:val="32"/>
                      <w:szCs w:val="32"/>
                    </w:rPr>
                  </m:ctrlPr>
                </m:sub>
              </m:sSub>
              <m:r>
                <m:rPr>
                  <m:nor/>
                  <m:sty m:val="p"/>
                </m:rPr>
                <w:rPr>
                  <w:b w:val="0"/>
                  <w:i w:val="0"/>
                  <w:color w:val="000000"/>
                  <w:sz w:val="32"/>
                  <w:szCs w:val="32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color w:val="000000"/>
                      <w:sz w:val="32"/>
                      <w:szCs w:val="32"/>
                    </w:rPr>
                  </m:ctrlPr>
                </m:sSubPr>
                <m:e>
                  <m:r>
                    <m:rPr>
                      <m:nor/>
                    </m:rPr>
                    <w:rPr>
                      <w:b w:val="0"/>
                      <w:i/>
                      <w:iCs/>
                      <w:color w:val="000000"/>
                      <w:sz w:val="32"/>
                      <w:szCs w:val="32"/>
                    </w:rPr>
                    <m:t>X</m:t>
                  </m:r>
                  <m:ctrlPr>
                    <w:rPr>
                      <w:rFonts w:ascii="Cambria Math" w:hAnsi="Cambria Math"/>
                      <w:b w:val="0"/>
                      <w:i/>
                      <w:color w:val="000000"/>
                      <w:sz w:val="32"/>
                      <w:szCs w:val="32"/>
                    </w:rPr>
                  </m:ctrlPr>
                </m:e>
                <m:sub>
                  <m:r>
                    <m:rPr>
                      <m:nor/>
                      <m:sty m:val="p"/>
                    </m:rPr>
                    <w:rPr>
                      <w:b w:val="0"/>
                      <w:i w:val="0"/>
                      <w:color w:val="000000"/>
                      <w:sz w:val="32"/>
                      <w:szCs w:val="32"/>
                    </w:rPr>
                    <m:t>i,min</m:t>
                  </m:r>
                  <m:ctrlPr>
                    <w:rPr>
                      <w:rFonts w:ascii="Cambria Math" w:hAnsi="Cambria Math"/>
                      <w:b w:val="0"/>
                      <w:i/>
                      <w:color w:val="000000"/>
                      <w:sz w:val="32"/>
                      <w:szCs w:val="32"/>
                    </w:rPr>
                  </m:ctrlPr>
                </m:sub>
              </m:sSub>
              <m:ctrlPr>
                <w:rPr>
                  <w:rFonts w:ascii="Cambria Math" w:hAnsi="Cambria Math"/>
                  <w:b w:val="0"/>
                  <w:i/>
                  <w:color w:val="000000"/>
                  <w:sz w:val="32"/>
                  <w:szCs w:val="32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color w:val="000000"/>
                      <w:sz w:val="32"/>
                      <w:szCs w:val="32"/>
                    </w:rPr>
                  </m:ctrlPr>
                </m:sSubPr>
                <m:e>
                  <m:r>
                    <m:rPr>
                      <m:nor/>
                    </m:rPr>
                    <w:rPr>
                      <w:b w:val="0"/>
                      <w:i/>
                      <w:iCs/>
                      <w:color w:val="000000"/>
                      <w:sz w:val="32"/>
                      <w:szCs w:val="32"/>
                    </w:rPr>
                    <m:t>X</m:t>
                  </m:r>
                  <m:ctrlPr>
                    <w:rPr>
                      <w:rFonts w:ascii="Cambria Math" w:hAnsi="Cambria Math"/>
                      <w:b w:val="0"/>
                      <w:i/>
                      <w:color w:val="000000"/>
                      <w:sz w:val="32"/>
                      <w:szCs w:val="32"/>
                    </w:rPr>
                  </m:ctrlPr>
                </m:e>
                <m:sub>
                  <m:r>
                    <m:rPr>
                      <m:nor/>
                      <m:sty m:val="p"/>
                    </m:rPr>
                    <w:rPr>
                      <w:b w:val="0"/>
                      <w:i w:val="0"/>
                      <w:color w:val="000000"/>
                      <w:sz w:val="32"/>
                      <w:szCs w:val="32"/>
                    </w:rPr>
                    <m:t>i,max</m:t>
                  </m:r>
                  <m:ctrlPr>
                    <w:rPr>
                      <w:rFonts w:ascii="Cambria Math" w:hAnsi="Cambria Math"/>
                      <w:b w:val="0"/>
                      <w:i/>
                      <w:color w:val="000000"/>
                      <w:sz w:val="32"/>
                      <w:szCs w:val="32"/>
                    </w:rPr>
                  </m:ctrlPr>
                </m:sub>
              </m:sSub>
              <m:r>
                <m:rPr>
                  <m:nor/>
                  <m:sty m:val="p"/>
                </m:rPr>
                <w:rPr>
                  <w:b w:val="0"/>
                  <w:i w:val="0"/>
                  <w:color w:val="000000"/>
                  <w:sz w:val="32"/>
                  <w:szCs w:val="32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color w:val="000000"/>
                      <w:sz w:val="32"/>
                      <w:szCs w:val="32"/>
                    </w:rPr>
                  </m:ctrlPr>
                </m:sSubPr>
                <m:e>
                  <m:r>
                    <m:rPr>
                      <m:nor/>
                    </m:rPr>
                    <w:rPr>
                      <w:b w:val="0"/>
                      <w:i/>
                      <w:iCs/>
                      <w:color w:val="000000"/>
                      <w:sz w:val="32"/>
                      <w:szCs w:val="32"/>
                    </w:rPr>
                    <m:t>X</m:t>
                  </m:r>
                  <m:ctrlPr>
                    <w:rPr>
                      <w:rFonts w:ascii="Cambria Math" w:hAnsi="Cambria Math"/>
                      <w:b w:val="0"/>
                      <w:i/>
                      <w:color w:val="000000"/>
                      <w:sz w:val="32"/>
                      <w:szCs w:val="32"/>
                    </w:rPr>
                  </m:ctrlPr>
                </m:e>
                <m:sub>
                  <m:r>
                    <m:rPr>
                      <m:nor/>
                      <m:sty m:val="p"/>
                    </m:rPr>
                    <w:rPr>
                      <w:b w:val="0"/>
                      <w:i w:val="0"/>
                      <w:color w:val="000000"/>
                      <w:sz w:val="32"/>
                      <w:szCs w:val="32"/>
                    </w:rPr>
                    <m:t>i,min</m:t>
                  </m:r>
                  <m:ctrlPr>
                    <w:rPr>
                      <w:rFonts w:ascii="Cambria Math" w:hAnsi="Cambria Math"/>
                      <w:b w:val="0"/>
                      <w:i/>
                      <w:color w:val="000000"/>
                      <w:sz w:val="32"/>
                      <w:szCs w:val="32"/>
                    </w:rPr>
                  </m:ctrlPr>
                </m:sub>
              </m:sSub>
              <m:ctrlPr>
                <w:rPr>
                  <w:rFonts w:ascii="Cambria Math" w:hAnsi="Cambria Math"/>
                  <w:b w:val="0"/>
                  <w:i/>
                  <w:color w:val="000000"/>
                  <w:sz w:val="32"/>
                  <w:szCs w:val="32"/>
                </w:rPr>
              </m:ctrlPr>
            </m:den>
          </m:f>
          <m:r>
            <m:rPr>
              <m:nor/>
              <m:sty m:val="p"/>
            </m:rPr>
            <w:rPr>
              <w:b w:val="0"/>
              <w:i w:val="0"/>
              <w:color w:val="000000"/>
              <w:sz w:val="32"/>
              <w:szCs w:val="32"/>
            </w:rPr>
            <m:t>×40</m:t>
          </m:r>
        </m:oMath>
      </m:oMathPara>
    </w:p>
    <w:p>
      <w:pPr>
        <w:overflowPunct/>
        <w:spacing w:line="560" w:lineRule="exact"/>
        <w:ind w:firstLine="640" w:firstLineChars="200"/>
        <w:rPr>
          <w:b w:val="0"/>
          <w:sz w:val="32"/>
          <w:szCs w:val="32"/>
        </w:rPr>
      </w:pPr>
      <w:r>
        <w:rPr>
          <w:b w:val="0"/>
          <w:color w:val="000000"/>
          <w:sz w:val="32"/>
          <w:szCs w:val="32"/>
        </w:rPr>
        <w:t>其中：</w:t>
      </w:r>
      <m:oMath>
        <m:sSub>
          <m:sSubPr>
            <m:ctrlPr>
              <w:rPr>
                <w:rFonts w:ascii="Cambria Math" w:hAnsi="Cambria Math"/>
                <w:b w:val="0"/>
                <w:i/>
                <w:color w:val="000000"/>
                <w:sz w:val="32"/>
                <w:szCs w:val="32"/>
              </w:rPr>
            </m:ctrlPr>
          </m:sSubPr>
          <m:e>
            <m:r>
              <m:rPr>
                <m:nor/>
              </m:rPr>
              <w:rPr>
                <w:b w:val="0"/>
                <w:i/>
                <w:iCs/>
                <w:color w:val="000000"/>
                <w:sz w:val="32"/>
                <w:szCs w:val="32"/>
              </w:rPr>
              <m:t>Y</m:t>
            </m:r>
            <m:ctrlPr>
              <w:rPr>
                <w:rFonts w:ascii="Cambria Math" w:hAnsi="Cambria Math"/>
                <w:b w:val="0"/>
                <w:i/>
                <w:color w:val="000000"/>
                <w:sz w:val="32"/>
                <w:szCs w:val="32"/>
              </w:rPr>
            </m:ctrlPr>
          </m:e>
          <m:sub>
            <m:r>
              <m:rPr>
                <m:nor/>
                <m:sty m:val="p"/>
              </m:rPr>
              <w:rPr>
                <w:b w:val="0"/>
                <w:i w:val="0"/>
                <w:color w:val="000000"/>
                <w:sz w:val="32"/>
                <w:szCs w:val="32"/>
              </w:rPr>
              <m:t>i</m:t>
            </m:r>
            <m:ctrlPr>
              <w:rPr>
                <w:rFonts w:ascii="Cambria Math" w:hAnsi="Cambria Math"/>
                <w:b w:val="0"/>
                <w:i/>
                <w:color w:val="000000"/>
                <w:sz w:val="32"/>
                <w:szCs w:val="32"/>
              </w:rPr>
            </m:ctrlPr>
          </m:sub>
        </m:sSub>
      </m:oMath>
      <w:r>
        <w:rPr>
          <w:b w:val="0"/>
          <w:color w:val="000000"/>
          <w:sz w:val="32"/>
          <w:szCs w:val="32"/>
        </w:rPr>
        <w:t>为该县（市、区）第</w:t>
      </w:r>
      <m:oMath>
        <m:r>
          <m:rPr>
            <m:nor/>
            <m:sty m:val="p"/>
          </m:rPr>
          <w:rPr>
            <w:b w:val="0"/>
            <w:i w:val="0"/>
            <w:color w:val="000000"/>
            <w:sz w:val="32"/>
            <w:szCs w:val="32"/>
          </w:rPr>
          <m:t>i</m:t>
        </m:r>
      </m:oMath>
      <w:r>
        <w:rPr>
          <w:b w:val="0"/>
          <w:color w:val="000000"/>
          <w:sz w:val="32"/>
          <w:szCs w:val="32"/>
        </w:rPr>
        <w:t>项指标得</w:t>
      </w:r>
      <w:r>
        <w:rPr>
          <w:b w:val="0"/>
          <w:sz w:val="32"/>
          <w:szCs w:val="32"/>
        </w:rPr>
        <w:t>分，</w:t>
      </w:r>
      <m:oMath>
        <m:sSub>
          <m:sSubPr>
            <m:ctrlPr>
              <w:rPr>
                <w:rFonts w:ascii="Cambria Math" w:hAnsi="Cambria Math"/>
                <w:b w:val="0"/>
                <w:i/>
                <w:color w:val="000000"/>
                <w:sz w:val="32"/>
                <w:szCs w:val="32"/>
              </w:rPr>
            </m:ctrlPr>
          </m:sSubPr>
          <m:e>
            <m:r>
              <m:rPr>
                <m:nor/>
              </m:rPr>
              <w:rPr>
                <w:b w:val="0"/>
                <w:i/>
                <w:iCs/>
                <w:color w:val="000000"/>
                <w:sz w:val="32"/>
                <w:szCs w:val="32"/>
              </w:rPr>
              <m:t>X</m:t>
            </m:r>
            <m:ctrlPr>
              <w:rPr>
                <w:rFonts w:ascii="Cambria Math" w:hAnsi="Cambria Math"/>
                <w:b w:val="0"/>
                <w:i/>
                <w:color w:val="000000"/>
                <w:sz w:val="32"/>
                <w:szCs w:val="32"/>
              </w:rPr>
            </m:ctrlPr>
          </m:e>
          <m:sub>
            <m:r>
              <m:rPr>
                <m:nor/>
                <m:sty m:val="p"/>
              </m:rPr>
              <w:rPr>
                <w:b w:val="0"/>
                <w:i w:val="0"/>
                <w:color w:val="000000"/>
                <w:sz w:val="32"/>
                <w:szCs w:val="32"/>
              </w:rPr>
              <m:t>i</m:t>
            </m:r>
            <m:ctrlPr>
              <w:rPr>
                <w:rFonts w:ascii="Cambria Math" w:hAnsi="Cambria Math"/>
                <w:b w:val="0"/>
                <w:i/>
                <w:color w:val="000000"/>
                <w:sz w:val="32"/>
                <w:szCs w:val="32"/>
              </w:rPr>
            </m:ctrlPr>
          </m:sub>
        </m:sSub>
      </m:oMath>
      <w:r>
        <w:rPr>
          <w:b w:val="0"/>
          <w:sz w:val="32"/>
          <w:szCs w:val="32"/>
        </w:rPr>
        <w:t>为该县（市、区）第</w:t>
      </w:r>
      <m:oMath>
        <m:r>
          <m:rPr>
            <m:nor/>
            <m:sty m:val="p"/>
          </m:rPr>
          <w:rPr>
            <w:b w:val="0"/>
            <w:i w:val="0"/>
            <w:color w:val="000000"/>
            <w:sz w:val="32"/>
            <w:szCs w:val="32"/>
          </w:rPr>
          <m:t>i</m:t>
        </m:r>
      </m:oMath>
      <w:r>
        <w:rPr>
          <w:b w:val="0"/>
          <w:sz w:val="32"/>
          <w:szCs w:val="32"/>
        </w:rPr>
        <w:t>项指标值，</w:t>
      </w:r>
      <m:oMath>
        <m:sSub>
          <m:sSubPr>
            <m:ctrlPr>
              <w:rPr>
                <w:rFonts w:ascii="Cambria Math" w:hAnsi="Cambria Math"/>
                <w:b w:val="0"/>
                <w:i/>
                <w:color w:val="000000"/>
                <w:sz w:val="32"/>
                <w:szCs w:val="32"/>
              </w:rPr>
            </m:ctrlPr>
          </m:sSubPr>
          <m:e>
            <m:r>
              <m:rPr>
                <m:nor/>
              </m:rPr>
              <w:rPr>
                <w:b w:val="0"/>
                <w:i/>
                <w:iCs/>
                <w:color w:val="000000"/>
                <w:sz w:val="32"/>
                <w:szCs w:val="32"/>
              </w:rPr>
              <m:t>X</m:t>
            </m:r>
            <m:ctrlPr>
              <w:rPr>
                <w:rFonts w:ascii="Cambria Math" w:hAnsi="Cambria Math"/>
                <w:b w:val="0"/>
                <w:i/>
                <w:color w:val="000000"/>
                <w:sz w:val="32"/>
                <w:szCs w:val="32"/>
              </w:rPr>
            </m:ctrlPr>
          </m:e>
          <m:sub>
            <m:r>
              <m:rPr>
                <m:nor/>
                <m:sty m:val="p"/>
              </m:rPr>
              <w:rPr>
                <w:b w:val="0"/>
                <w:i w:val="0"/>
                <w:color w:val="000000"/>
                <w:sz w:val="32"/>
                <w:szCs w:val="32"/>
              </w:rPr>
              <m:t>i,max</m:t>
            </m:r>
            <m:ctrlPr>
              <w:rPr>
                <w:rFonts w:ascii="Cambria Math" w:hAnsi="Cambria Math"/>
                <w:b w:val="0"/>
                <w:i/>
                <w:color w:val="000000"/>
                <w:sz w:val="32"/>
                <w:szCs w:val="32"/>
              </w:rPr>
            </m:ctrlPr>
          </m:sub>
        </m:sSub>
      </m:oMath>
      <w:r>
        <w:rPr>
          <w:b w:val="0"/>
          <w:sz w:val="32"/>
          <w:szCs w:val="32"/>
        </w:rPr>
        <w:t>为第</w:t>
      </w:r>
      <m:oMath>
        <m:r>
          <m:rPr>
            <m:nor/>
            <m:sty m:val="p"/>
          </m:rPr>
          <w:rPr>
            <w:b w:val="0"/>
            <w:i w:val="0"/>
            <w:color w:val="000000"/>
            <w:sz w:val="32"/>
            <w:szCs w:val="32"/>
          </w:rPr>
          <m:t>i</m:t>
        </m:r>
      </m:oMath>
      <w:r>
        <w:rPr>
          <w:b w:val="0"/>
          <w:sz w:val="32"/>
          <w:szCs w:val="32"/>
        </w:rPr>
        <w:t>项指标各县（市、区）的最大值，</w:t>
      </w:r>
      <m:oMath>
        <m:sSub>
          <m:sSubPr>
            <m:ctrlPr>
              <w:rPr>
                <w:rFonts w:ascii="Cambria Math" w:hAnsi="Cambria Math"/>
                <w:b w:val="0"/>
                <w:i/>
                <w:color w:val="000000"/>
                <w:sz w:val="32"/>
                <w:szCs w:val="32"/>
              </w:rPr>
            </m:ctrlPr>
          </m:sSubPr>
          <m:e>
            <m:r>
              <m:rPr>
                <m:nor/>
              </m:rPr>
              <w:rPr>
                <w:b w:val="0"/>
                <w:i/>
                <w:iCs/>
                <w:color w:val="000000"/>
                <w:sz w:val="32"/>
                <w:szCs w:val="32"/>
              </w:rPr>
              <m:t>X</m:t>
            </m:r>
            <m:ctrlPr>
              <w:rPr>
                <w:rFonts w:ascii="Cambria Math" w:hAnsi="Cambria Math"/>
                <w:b w:val="0"/>
                <w:i/>
                <w:color w:val="000000"/>
                <w:sz w:val="32"/>
                <w:szCs w:val="32"/>
              </w:rPr>
            </m:ctrlPr>
          </m:e>
          <m:sub>
            <m:r>
              <m:rPr>
                <m:nor/>
                <m:sty m:val="p"/>
              </m:rPr>
              <w:rPr>
                <w:b w:val="0"/>
                <w:i w:val="0"/>
                <w:color w:val="000000"/>
                <w:sz w:val="32"/>
                <w:szCs w:val="32"/>
              </w:rPr>
              <m:t>i,min</m:t>
            </m:r>
            <m:ctrlPr>
              <w:rPr>
                <w:rFonts w:ascii="Cambria Math" w:hAnsi="Cambria Math"/>
                <w:b w:val="0"/>
                <w:i/>
                <w:color w:val="000000"/>
                <w:sz w:val="32"/>
                <w:szCs w:val="32"/>
              </w:rPr>
            </m:ctrlPr>
          </m:sub>
        </m:sSub>
      </m:oMath>
      <w:r>
        <w:rPr>
          <w:b w:val="0"/>
          <w:sz w:val="32"/>
          <w:szCs w:val="32"/>
        </w:rPr>
        <w:t>为第</w:t>
      </w:r>
      <m:oMath>
        <m:r>
          <m:rPr>
            <m:nor/>
            <m:sty m:val="p"/>
          </m:rPr>
          <w:rPr>
            <w:b w:val="0"/>
            <w:i w:val="0"/>
            <w:color w:val="000000"/>
            <w:sz w:val="32"/>
            <w:szCs w:val="32"/>
          </w:rPr>
          <m:t>i</m:t>
        </m:r>
      </m:oMath>
      <w:r>
        <w:rPr>
          <w:b w:val="0"/>
          <w:sz w:val="32"/>
          <w:szCs w:val="32"/>
        </w:rPr>
        <w:t>项指标各县（市、区）的最小值。</w:t>
      </w:r>
    </w:p>
    <w:p>
      <w:pPr>
        <w:spacing w:line="560" w:lineRule="exact"/>
        <w:ind w:firstLine="640" w:firstLineChars="200"/>
        <w:rPr>
          <w:b w:val="0"/>
          <w:sz w:val="32"/>
          <w:szCs w:val="32"/>
        </w:rPr>
      </w:pPr>
      <w:r>
        <w:rPr>
          <w:rFonts w:eastAsia="楷体_GB2312"/>
          <w:b w:val="0"/>
          <w:bCs/>
          <w:color w:val="000000"/>
          <w:sz w:val="32"/>
          <w:szCs w:val="32"/>
        </w:rPr>
        <w:t>步骤二</w:t>
      </w:r>
      <w:r>
        <w:rPr>
          <w:sz w:val="32"/>
          <w:szCs w:val="32"/>
        </w:rPr>
        <w:t>：</w:t>
      </w:r>
      <w:r>
        <w:rPr>
          <w:b w:val="0"/>
          <w:sz w:val="32"/>
          <w:szCs w:val="32"/>
        </w:rPr>
        <w:t>对个体分数进行加权，计算各县（市、区）综合得分。计算公式为：</w:t>
      </w:r>
      <m:oMath>
        <m:r>
          <m:rPr>
            <m:nor/>
          </m:rPr>
          <w:rPr>
            <w:b w:val="0"/>
            <w:i/>
            <w:iCs/>
            <w:sz w:val="32"/>
            <w:szCs w:val="32"/>
          </w:rPr>
          <m:t xml:space="preserve">F </m:t>
        </m:r>
        <m:r>
          <m:rPr>
            <m:nor/>
            <m:sty m:val="p"/>
          </m:rPr>
          <w:rPr>
            <w:b w:val="0"/>
            <w:i w:val="0"/>
            <w:sz w:val="32"/>
            <w:szCs w:val="32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/>
                <w:b w:val="0"/>
                <w:sz w:val="32"/>
                <w:szCs w:val="32"/>
              </w:rPr>
            </m:ctrlPr>
          </m:naryPr>
          <m:sub>
            <m:ctrlPr>
              <w:rPr>
                <w:rFonts w:ascii="Cambria Math" w:hAnsi="Cambria Math"/>
                <w:b w:val="0"/>
                <w:sz w:val="32"/>
                <w:szCs w:val="32"/>
              </w:rPr>
            </m:ctrlPr>
          </m:sub>
          <m:sup>
            <m:argPr>
              <m:argSz m:val="-1"/>
            </m:argPr>
            <m:ctrlPr>
              <w:rPr>
                <w:rFonts w:ascii="Cambria Math" w:hAnsi="Cambria Math"/>
                <w:b w:val="0"/>
                <w:sz w:val="32"/>
                <w:szCs w:val="32"/>
              </w:rPr>
            </m:ctrlPr>
          </m:sup>
          <m:e>
            <m:sSub>
              <m:sSubPr>
                <m:ctrlPr>
                  <w:rPr>
                    <w:rFonts w:ascii="Cambria Math" w:hAnsi="Cambria Math"/>
                    <w:b w:val="0"/>
                    <w:sz w:val="32"/>
                    <w:szCs w:val="32"/>
                  </w:rPr>
                </m:ctrlPr>
              </m:sSubPr>
              <m:e>
                <m:r>
                  <m:rPr>
                    <m:nor/>
                  </m:rPr>
                  <w:rPr>
                    <w:b w:val="0"/>
                    <w:i/>
                    <w:iCs/>
                    <w:sz w:val="32"/>
                    <w:szCs w:val="32"/>
                  </w:rPr>
                  <m:t>W</m:t>
                </m:r>
                <m:ctrlPr>
                  <w:rPr>
                    <w:rFonts w:ascii="Cambria Math" w:hAnsi="Cambria Math"/>
                    <w:b w:val="0"/>
                    <w:sz w:val="32"/>
                    <w:szCs w:val="32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b w:val="0"/>
                    <w:i w:val="0"/>
                    <w:sz w:val="32"/>
                    <w:szCs w:val="32"/>
                  </w:rPr>
                  <m:t>i</m:t>
                </m:r>
                <m:ctrlPr>
                  <w:rPr>
                    <w:rFonts w:ascii="Cambria Math" w:hAnsi="Cambria Math"/>
                    <w:b w:val="0"/>
                    <w:sz w:val="32"/>
                    <w:szCs w:val="32"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b w:val="0"/>
                    <w:i/>
                    <w:iCs/>
                    <w:sz w:val="32"/>
                    <w:szCs w:val="32"/>
                  </w:rPr>
                </m:ctrlPr>
              </m:sSubPr>
              <m:e>
                <m:r>
                  <m:rPr>
                    <m:nor/>
                  </m:rPr>
                  <w:rPr>
                    <w:b w:val="0"/>
                    <w:i/>
                    <w:iCs/>
                    <w:sz w:val="32"/>
                    <w:szCs w:val="32"/>
                  </w:rPr>
                  <m:t>Y</m:t>
                </m:r>
                <m:ctrlPr>
                  <w:rPr>
                    <w:rFonts w:ascii="Cambria Math" w:hAnsi="Cambria Math"/>
                    <w:b w:val="0"/>
                    <w:i/>
                    <w:iCs/>
                    <w:sz w:val="32"/>
                    <w:szCs w:val="32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b w:val="0"/>
                    <w:i w:val="0"/>
                    <w:sz w:val="32"/>
                    <w:szCs w:val="32"/>
                  </w:rPr>
                  <m:t>i</m:t>
                </m:r>
                <m:ctrlPr>
                  <w:rPr>
                    <w:rFonts w:ascii="Cambria Math" w:hAnsi="Cambria Math"/>
                    <w:b w:val="0"/>
                    <w:i/>
                    <w:iCs/>
                    <w:sz w:val="32"/>
                    <w:szCs w:val="32"/>
                  </w:rPr>
                </m:ctrlPr>
              </m:sub>
            </m:sSub>
            <m:ctrlPr>
              <w:rPr>
                <w:rFonts w:ascii="Cambria Math" w:hAnsi="Cambria Math"/>
                <w:b w:val="0"/>
                <w:sz w:val="32"/>
                <w:szCs w:val="32"/>
              </w:rPr>
            </m:ctrlPr>
          </m:e>
        </m:nary>
      </m:oMath>
      <w:r>
        <w:rPr>
          <w:b w:val="0"/>
          <w:sz w:val="32"/>
          <w:szCs w:val="32"/>
        </w:rPr>
        <w:t xml:space="preserve"> </w:t>
      </w:r>
    </w:p>
    <w:p>
      <w:pPr>
        <w:overflowPunct/>
        <w:autoSpaceDE w:val="0"/>
        <w:autoSpaceDN w:val="0"/>
        <w:adjustRightInd w:val="0"/>
        <w:spacing w:line="560" w:lineRule="exact"/>
        <w:ind w:firstLine="640" w:firstLineChars="200"/>
        <w:rPr>
          <w:b w:val="0"/>
          <w:kern w:val="0"/>
          <w:sz w:val="32"/>
          <w:szCs w:val="32"/>
        </w:rPr>
      </w:pPr>
      <w:r>
        <w:rPr>
          <w:b w:val="0"/>
          <w:sz w:val="32"/>
          <w:szCs w:val="32"/>
        </w:rPr>
        <w:t>其中：</w:t>
      </w:r>
      <m:oMath>
        <m:r>
          <m:rPr>
            <m:nor/>
          </m:rPr>
          <w:rPr>
            <w:b w:val="0"/>
            <w:i/>
            <w:iCs/>
            <w:sz w:val="32"/>
            <w:szCs w:val="32"/>
          </w:rPr>
          <m:t>F</m:t>
        </m:r>
      </m:oMath>
      <w:r>
        <w:rPr>
          <w:b w:val="0"/>
          <w:sz w:val="32"/>
          <w:szCs w:val="32"/>
        </w:rPr>
        <w:t>为该县（市、区）综合分数，</w:t>
      </w:r>
      <m:oMath>
        <m:sSub>
          <m:sSubPr>
            <m:ctrlPr>
              <w:rPr>
                <w:rFonts w:ascii="Cambria Math" w:hAnsi="Cambria Math"/>
                <w:b w:val="0"/>
                <w:sz w:val="32"/>
                <w:szCs w:val="32"/>
              </w:rPr>
            </m:ctrlPr>
          </m:sSubPr>
          <m:e>
            <m:r>
              <m:rPr>
                <m:nor/>
              </m:rPr>
              <w:rPr>
                <w:b w:val="0"/>
                <w:i/>
                <w:iCs/>
                <w:sz w:val="32"/>
                <w:szCs w:val="32"/>
              </w:rPr>
              <m:t>Y</m:t>
            </m:r>
            <m:ctrlPr>
              <w:rPr>
                <w:rFonts w:ascii="Cambria Math" w:hAnsi="Cambria Math"/>
                <w:b w:val="0"/>
                <w:sz w:val="32"/>
                <w:szCs w:val="32"/>
              </w:rPr>
            </m:ctrlPr>
          </m:e>
          <m:sub>
            <m:r>
              <m:rPr>
                <m:nor/>
                <m:sty m:val="p"/>
              </m:rPr>
              <w:rPr>
                <w:b w:val="0"/>
                <w:i w:val="0"/>
                <w:sz w:val="32"/>
                <w:szCs w:val="32"/>
              </w:rPr>
              <m:t>i</m:t>
            </m:r>
            <m:ctrlPr>
              <w:rPr>
                <w:rFonts w:ascii="Cambria Math" w:hAnsi="Cambria Math"/>
                <w:b w:val="0"/>
                <w:sz w:val="32"/>
                <w:szCs w:val="32"/>
              </w:rPr>
            </m:ctrlPr>
          </m:sub>
        </m:sSub>
      </m:oMath>
      <w:r>
        <w:rPr>
          <w:b w:val="0"/>
          <w:sz w:val="32"/>
          <w:szCs w:val="32"/>
        </w:rPr>
        <w:t>为该县（市、区）第</w:t>
      </w:r>
      <m:oMath>
        <m:r>
          <m:rPr>
            <m:nor/>
            <m:sty m:val="p"/>
          </m:rPr>
          <w:rPr>
            <w:b w:val="0"/>
            <w:i w:val="0"/>
            <w:color w:val="000000"/>
            <w:sz w:val="32"/>
            <w:szCs w:val="32"/>
          </w:rPr>
          <m:t>i</m:t>
        </m:r>
      </m:oMath>
      <w:r>
        <w:rPr>
          <w:b w:val="0"/>
          <w:sz w:val="32"/>
          <w:szCs w:val="32"/>
        </w:rPr>
        <w:t>项指标的个体分数，</w:t>
      </w:r>
      <m:oMath>
        <m:sSub>
          <m:sSubPr>
            <m:ctrlPr>
              <w:rPr>
                <w:rFonts w:ascii="Cambria Math" w:hAnsi="Cambria Math"/>
                <w:b w:val="0"/>
                <w:sz w:val="32"/>
                <w:szCs w:val="32"/>
              </w:rPr>
            </m:ctrlPr>
          </m:sSubPr>
          <m:e>
            <m:r>
              <m:rPr>
                <m:nor/>
              </m:rPr>
              <w:rPr>
                <w:b w:val="0"/>
                <w:i/>
                <w:iCs/>
                <w:sz w:val="32"/>
                <w:szCs w:val="32"/>
              </w:rPr>
              <m:t>W</m:t>
            </m:r>
            <m:ctrlPr>
              <w:rPr>
                <w:rFonts w:ascii="Cambria Math" w:hAnsi="Cambria Math"/>
                <w:b w:val="0"/>
                <w:sz w:val="32"/>
                <w:szCs w:val="32"/>
              </w:rPr>
            </m:ctrlPr>
          </m:e>
          <m:sub>
            <m:r>
              <m:rPr>
                <m:nor/>
                <m:sty m:val="p"/>
              </m:rPr>
              <w:rPr>
                <w:b w:val="0"/>
                <w:i w:val="0"/>
                <w:sz w:val="32"/>
                <w:szCs w:val="32"/>
              </w:rPr>
              <m:t>i</m:t>
            </m:r>
            <m:ctrlPr>
              <w:rPr>
                <w:rFonts w:ascii="Cambria Math" w:hAnsi="Cambria Math"/>
                <w:b w:val="0"/>
                <w:sz w:val="32"/>
                <w:szCs w:val="32"/>
              </w:rPr>
            </m:ctrlPr>
          </m:sub>
        </m:sSub>
      </m:oMath>
      <w:r>
        <w:rPr>
          <w:b w:val="0"/>
          <w:sz w:val="32"/>
          <w:szCs w:val="32"/>
        </w:rPr>
        <w:t>为第</w:t>
      </w:r>
      <m:oMath>
        <m:r>
          <m:rPr>
            <m:nor/>
            <m:sty m:val="p"/>
          </m:rPr>
          <w:rPr>
            <w:b w:val="0"/>
            <w:i w:val="0"/>
            <w:color w:val="000000"/>
            <w:sz w:val="32"/>
            <w:szCs w:val="32"/>
          </w:rPr>
          <m:t>i</m:t>
        </m:r>
      </m:oMath>
      <w:r>
        <w:rPr>
          <w:b w:val="0"/>
          <w:sz w:val="32"/>
          <w:szCs w:val="32"/>
        </w:rPr>
        <w:t>项指标的权重。</w:t>
      </w:r>
    </w:p>
    <w:p>
      <w:pPr>
        <w:overflowPunct/>
        <w:autoSpaceDE w:val="0"/>
        <w:autoSpaceDN w:val="0"/>
        <w:adjustRightInd w:val="0"/>
        <w:snapToGrid w:val="0"/>
        <w:spacing w:line="560" w:lineRule="exact"/>
        <w:ind w:firstLine="640" w:firstLineChars="200"/>
        <w:jc w:val="left"/>
        <w:rPr>
          <w:rFonts w:eastAsia="黑体"/>
          <w:b w:val="0"/>
          <w:kern w:val="0"/>
          <w:sz w:val="32"/>
          <w:szCs w:val="32"/>
        </w:rPr>
      </w:pPr>
      <w:r>
        <w:rPr>
          <w:rFonts w:eastAsia="黑体"/>
          <w:b w:val="0"/>
          <w:kern w:val="0"/>
          <w:sz w:val="32"/>
          <w:szCs w:val="32"/>
        </w:rPr>
        <w:t>三、结果认定</w:t>
      </w:r>
    </w:p>
    <w:p>
      <w:pPr>
        <w:pStyle w:val="2"/>
        <w:spacing w:after="0" w:line="560" w:lineRule="exact"/>
        <w:ind w:left="0" w:leftChars="0" w:firstLine="640" w:firstLineChars="200"/>
        <w:rPr>
          <w:sz w:val="32"/>
          <w:szCs w:val="32"/>
        </w:rPr>
      </w:pPr>
      <w:r>
        <w:rPr>
          <w:rFonts w:eastAsia="仿宋_GB2312"/>
          <w:b w:val="0"/>
          <w:kern w:val="0"/>
          <w:sz w:val="32"/>
          <w:szCs w:val="32"/>
        </w:rPr>
        <w:t>将全省136个</w:t>
      </w:r>
      <w:r>
        <w:rPr>
          <w:rFonts w:eastAsia="仿宋_GB2312"/>
          <w:b w:val="0"/>
          <w:sz w:val="32"/>
          <w:szCs w:val="32"/>
        </w:rPr>
        <w:t>县（市、区）</w:t>
      </w:r>
      <w:r>
        <w:rPr>
          <w:rFonts w:eastAsia="仿宋_GB2312"/>
          <w:b w:val="0"/>
          <w:kern w:val="0"/>
          <w:sz w:val="32"/>
          <w:szCs w:val="32"/>
        </w:rPr>
        <w:t>测算后按照综合得分高低进行排序，去除</w:t>
      </w:r>
      <w:r>
        <w:rPr>
          <w:rFonts w:eastAsia="仿宋_GB2312"/>
          <w:b w:val="0"/>
          <w:color w:val="000000"/>
          <w:sz w:val="32"/>
          <w:szCs w:val="32"/>
        </w:rPr>
        <w:t>“一票否决”和</w:t>
      </w:r>
      <w:r>
        <w:rPr>
          <w:rFonts w:eastAsia="仿宋_GB2312"/>
          <w:b w:val="0"/>
          <w:kern w:val="0"/>
          <w:sz w:val="32"/>
          <w:szCs w:val="32"/>
        </w:rPr>
        <w:t>已获评科技创新强县的县（市、区），选取各市排名第一位的县（市、区）确定为2023年度科技创新强县。</w:t>
      </w:r>
    </w:p>
    <w:p>
      <w:bookmarkStart w:id="1" w:name="_GoBack"/>
      <w:bookmarkEnd w:id="1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5" w:left="1588" w:header="850" w:footer="680" w:gutter="0"/>
      <w:pgNumType w:fmt="numberInDash" w:start="1"/>
      <w:cols w:space="720" w:num="1"/>
      <w:docGrid w:type="linesAndChars" w:linePitch="469" w:charSpace="3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75423536"/>
      <w:docPartObj>
        <w:docPartGallery w:val="autotext"/>
      </w:docPartObj>
    </w:sdtPr>
    <w:sdtContent>
      <w:p>
        <w:pPr>
          <w:pStyle w:val="3"/>
          <w:jc w:val="center"/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</w:rPr>
          <w:t>2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B7E3A3F"/>
    <w:rsid w:val="26831BBC"/>
    <w:rsid w:val="7B7E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overflowPunct w:val="0"/>
      <w:spacing w:line="600" w:lineRule="exact"/>
      <w:jc w:val="both"/>
    </w:pPr>
    <w:rPr>
      <w:rFonts w:ascii="Times New Roman" w:hAnsi="Times New Roman" w:eastAsia="仿宋_GB2312" w:cs="Times New Roman"/>
      <w:b/>
      <w:kern w:val="2"/>
      <w:sz w:val="34"/>
      <w:szCs w:val="3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eastAsia="宋体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  <w:lang w:val="zh-CN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eastAsia="宋体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2024-01-05T08:12:00Z</dcterms:created>
  <dc:creator>'Always</dc:creator>
  <cp:lastModifiedBy>'Always</cp:lastModifiedBy>
  <dcterms:modified xsi:type="dcterms:W3CDTF">2024-01-05T08:12:30Z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821E1E6DA1BE41A99646E27B3C4A3104_11</vt:lpwstr>
  </property>
</Properties>
</file>