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 w:val="0"/>
          <w:bCs/>
          <w:sz w:val="32"/>
          <w:szCs w:val="32"/>
        </w:rPr>
      </w:pPr>
      <w:r>
        <w:rPr>
          <w:rFonts w:eastAsia="黑体"/>
          <w:b w:val="0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hint="eastAsia" w:eastAsia="方正小标宋简体"/>
          <w:b w:val="0"/>
          <w:bCs/>
          <w:sz w:val="44"/>
          <w:szCs w:val="44"/>
        </w:rPr>
        <w:t>2023年</w:t>
      </w:r>
      <w:r>
        <w:rPr>
          <w:rFonts w:eastAsia="方正小标宋简体"/>
          <w:b w:val="0"/>
          <w:bCs/>
          <w:sz w:val="44"/>
          <w:szCs w:val="44"/>
        </w:rPr>
        <w:t>科技创新强县评价指标</w:t>
      </w:r>
    </w:p>
    <w:p>
      <w:pPr>
        <w:spacing w:line="56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eastAsia="方正小标宋简体"/>
          <w:b w:val="0"/>
          <w:bCs/>
          <w:sz w:val="44"/>
          <w:szCs w:val="44"/>
        </w:rPr>
        <w:t>及测评认定方法</w:t>
      </w:r>
    </w:p>
    <w:p>
      <w:pPr>
        <w:spacing w:line="560" w:lineRule="exact"/>
        <w:jc w:val="center"/>
        <w:rPr>
          <w:rFonts w:eastAsia="楷体_GB2312"/>
          <w:b w:val="0"/>
          <w:bCs/>
          <w:sz w:val="32"/>
          <w:szCs w:val="32"/>
        </w:rPr>
      </w:pPr>
    </w:p>
    <w:p>
      <w:pPr>
        <w:overflowPunct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b w:val="0"/>
          <w:kern w:val="0"/>
          <w:sz w:val="32"/>
          <w:szCs w:val="32"/>
        </w:rPr>
      </w:pPr>
      <w:r>
        <w:rPr>
          <w:rFonts w:eastAsia="黑体"/>
          <w:b w:val="0"/>
          <w:kern w:val="0"/>
          <w:sz w:val="32"/>
          <w:szCs w:val="32"/>
        </w:rPr>
        <w:t>一、指标设定</w:t>
      </w:r>
    </w:p>
    <w:p>
      <w:pPr>
        <w:overflowPunct/>
        <w:autoSpaceDE w:val="0"/>
        <w:autoSpaceDN w:val="0"/>
        <w:adjustRightInd w:val="0"/>
        <w:snapToGrid w:val="0"/>
        <w:spacing w:after="234" w:afterLines="50" w:line="560" w:lineRule="exact"/>
        <w:ind w:firstLine="640" w:firstLineChars="200"/>
        <w:rPr>
          <w:b w:val="0"/>
          <w:kern w:val="0"/>
          <w:sz w:val="32"/>
          <w:szCs w:val="32"/>
        </w:rPr>
      </w:pPr>
      <w:r>
        <w:rPr>
          <w:b w:val="0"/>
          <w:kern w:val="0"/>
          <w:sz w:val="32"/>
          <w:szCs w:val="32"/>
        </w:rPr>
        <w:t>按照支持先进、鼓励后进的原则，选定上年度全社会R&amp;D经费内部支出、全社会R&amp;D经费内部支出较上年增长率等14项正向指标以及“一票否决”事项指标。</w:t>
      </w:r>
    </w:p>
    <w:p>
      <w:pPr>
        <w:spacing w:after="234" w:afterLines="50" w:line="64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eastAsia="黑体"/>
          <w:b w:val="0"/>
          <w:kern w:val="0"/>
          <w:sz w:val="32"/>
          <w:szCs w:val="32"/>
        </w:rPr>
        <w:t>科技创新强县评价指标体系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977"/>
        <w:gridCol w:w="709"/>
        <w:gridCol w:w="2427"/>
        <w:gridCol w:w="127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60" w:lineRule="exact"/>
              <w:ind w:left="-180" w:leftChars="-53" w:right="-173" w:rightChars="-51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60" w:lineRule="exact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指标名称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60" w:lineRule="exact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指标性质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60" w:lineRule="exact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评分标准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60" w:lineRule="exact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数据来源</w:t>
            </w:r>
          </w:p>
        </w:tc>
        <w:tc>
          <w:tcPr>
            <w:tcW w:w="1135" w:type="dxa"/>
          </w:tcPr>
          <w:p>
            <w:pPr>
              <w:widowControl/>
              <w:overflowPunct/>
              <w:adjustRightInd w:val="0"/>
              <w:snapToGrid w:val="0"/>
              <w:spacing w:line="360" w:lineRule="exact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权重</w:t>
            </w:r>
          </w:p>
          <w:p>
            <w:pPr>
              <w:widowControl/>
              <w:overflowPunct/>
              <w:adjustRightInd w:val="0"/>
              <w:snapToGrid w:val="0"/>
              <w:spacing w:line="360" w:lineRule="exact"/>
              <w:jc w:val="center"/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eastAsia="黑体"/>
                <w:b w:val="0"/>
                <w:color w:val="000000"/>
                <w:kern w:val="0"/>
                <w:sz w:val="24"/>
                <w:szCs w:val="20"/>
              </w:rPr>
              <w:t>（100）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全社会R&amp;D经费内部支出（万元）及占GDP的比重（%）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功效系数法评价（6</w:t>
            </w:r>
            <w:r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4）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全社会R&amp;D经费内部支出较上年增长率（%）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规上工业企业每万名就业人员中研发人员数（人年/万人）及提高幅度（人年）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功效系数法评价（6</w:t>
            </w:r>
            <w:r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4）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规上工业企业R&amp;D经费内部支出占营业收入的比重（%）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每亿元GDP享受增值税减免政策的技术交易额（万元）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省科技厅、省税务局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万人有效发明专利拥有量（件/万人）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省市场监管局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规上工业企业新产品销售收入占营业收入比重（%）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万元GDP能耗下降率（%）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eastAsia="仿宋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bookmarkStart w:id="0" w:name="_Hlk149667855"/>
            <w:r>
              <w:rPr>
                <w:b w:val="0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规上高新技术产业产值占规上工业产值比重（%）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“四新”经济增加值占比（%）及增加值增速（%）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功效系数法评价（6</w:t>
            </w:r>
            <w:r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4）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企业享受研发经费加计扣除优惠政策获得的税收减免额（万元）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省税务局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千家市场主体登记企业中科技型中小企业入库数量（家）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省科技厅、省市场监管局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规上工业企业中有研发活动企业占比（%）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省统计局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高新技术企业数（家）及增长率（%）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正向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功效系数法评价（6</w:t>
            </w:r>
            <w:r>
              <w:rPr>
                <w:rFonts w:ascii="仿宋_GB2312"/>
                <w:b w:val="0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4）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color w:val="000000"/>
                <w:kern w:val="0"/>
                <w:sz w:val="21"/>
                <w:szCs w:val="21"/>
              </w:rPr>
              <w:t>省科技厅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eastAsia="仿宋"/>
                <w:b w:val="0"/>
                <w:color w:val="000000"/>
                <w:kern w:val="0"/>
                <w:sz w:val="24"/>
                <w:szCs w:val="24"/>
              </w:rPr>
              <w:t>9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ind w:left="-180" w:leftChars="-53" w:right="-173" w:rightChars="-51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b w:val="0"/>
                <w:color w:val="000000"/>
                <w:kern w:val="0"/>
                <w:sz w:val="24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/>
                <w:b w:val="0"/>
                <w:kern w:val="0"/>
                <w:sz w:val="24"/>
                <w:szCs w:val="20"/>
              </w:rPr>
              <w:t>约束条件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一票否决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left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近三年内发生重大及以上生产安全责任事故、重大产品质量事件、重大及以上突发环境事件、统计数据不实问题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240" w:lineRule="auto"/>
              <w:rPr>
                <w:rFonts w:ascii="仿宋_GB2312"/>
                <w:b w:val="0"/>
                <w:sz w:val="21"/>
                <w:szCs w:val="20"/>
              </w:rPr>
            </w:pPr>
            <w:r>
              <w:rPr>
                <w:rFonts w:hint="eastAsia" w:ascii="仿宋_GB2312"/>
                <w:b w:val="0"/>
                <w:sz w:val="21"/>
                <w:szCs w:val="20"/>
              </w:rPr>
              <w:t>省应急厅、省生态环境厅、省统计局、省市场监管局等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overflowPunct/>
              <w:adjustRightInd w:val="0"/>
              <w:snapToGrid w:val="0"/>
              <w:spacing w:line="300" w:lineRule="exact"/>
              <w:jc w:val="center"/>
              <w:rPr>
                <w:b w:val="0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overflowPunct/>
        <w:autoSpaceDE w:val="0"/>
        <w:autoSpaceDN w:val="0"/>
        <w:adjustRightInd w:val="0"/>
        <w:snapToGrid w:val="0"/>
        <w:spacing w:before="234" w:beforeLines="50" w:line="560" w:lineRule="exact"/>
        <w:ind w:firstLine="640" w:firstLineChars="200"/>
        <w:jc w:val="left"/>
        <w:rPr>
          <w:rFonts w:eastAsia="黑体"/>
          <w:b w:val="0"/>
          <w:kern w:val="0"/>
          <w:sz w:val="32"/>
          <w:szCs w:val="32"/>
        </w:rPr>
      </w:pPr>
      <w:r>
        <w:rPr>
          <w:rFonts w:eastAsia="黑体"/>
          <w:b w:val="0"/>
          <w:kern w:val="0"/>
          <w:sz w:val="32"/>
          <w:szCs w:val="32"/>
        </w:rPr>
        <w:t>二、指标测算</w:t>
      </w:r>
    </w:p>
    <w:p>
      <w:pPr>
        <w:overflowPunct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第1-14项指标按以下步骤进行测算，第15项指标为“一票否决”项。</w:t>
      </w:r>
    </w:p>
    <w:p>
      <w:pPr>
        <w:overflowPunct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 w:val="0"/>
          <w:color w:val="000000"/>
          <w:sz w:val="32"/>
          <w:szCs w:val="32"/>
        </w:rPr>
      </w:pPr>
      <w:r>
        <w:rPr>
          <w:rFonts w:eastAsia="楷体_GB2312"/>
          <w:b w:val="0"/>
          <w:bCs/>
          <w:color w:val="000000"/>
          <w:sz w:val="32"/>
          <w:szCs w:val="32"/>
        </w:rPr>
        <w:t>步骤一</w:t>
      </w:r>
      <w:r>
        <w:rPr>
          <w:color w:val="000000"/>
          <w:sz w:val="32"/>
          <w:szCs w:val="32"/>
        </w:rPr>
        <w:t>：</w:t>
      </w:r>
      <w:r>
        <w:rPr>
          <w:b w:val="0"/>
          <w:color w:val="000000"/>
          <w:sz w:val="32"/>
          <w:szCs w:val="32"/>
        </w:rPr>
        <w:t>通过功效系数法对单个县（市、区）单项指标值进行标准化处理，计算个体分数。</w:t>
      </w:r>
    </w:p>
    <w:p>
      <w:pPr>
        <w:overflowPunct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正向指标：即指标值越大，得分越高。计算公式为：</w:t>
      </w:r>
    </w:p>
    <w:p>
      <w:pPr>
        <w:spacing w:before="234" w:beforeLines="50" w:after="469" w:afterLines="100" w:line="560" w:lineRule="exact"/>
        <w:jc w:val="center"/>
        <w:rPr>
          <w:b w:val="0"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 w:val="0"/>
                  <w:i/>
                  <w:color w:val="000000"/>
                  <w:sz w:val="32"/>
                  <w:szCs w:val="32"/>
                </w:rPr>
              </m:ctrlPr>
            </m:sSubPr>
            <m:e>
              <m:r>
                <m:rPr>
                  <m:nor/>
                </m:rPr>
                <w:rPr>
                  <w:b w:val="0"/>
                  <w:i/>
                  <w:iCs/>
                  <w:color w:val="000000"/>
                  <w:sz w:val="32"/>
                  <w:szCs w:val="32"/>
                </w:rPr>
                <m:t>Y</m:t>
              </m:r>
              <m:ctrlPr>
                <w:rPr>
                  <w:rFonts w:ascii="Cambria Math" w:hAnsi="Cambria Math"/>
                  <w:b w:val="0"/>
                  <w:i/>
                  <w:color w:val="000000"/>
                  <w:sz w:val="32"/>
                  <w:szCs w:val="32"/>
                </w:rPr>
              </m:ctrlPr>
            </m:e>
            <m:sub>
              <m:r>
                <m:rPr>
                  <m:nor/>
                  <m:sty m:val="p"/>
                </m:rPr>
                <w:rPr>
                  <w:b w:val="0"/>
                  <w:i w:val="0"/>
                  <w:color w:val="000000"/>
                  <w:sz w:val="32"/>
                  <w:szCs w:val="32"/>
                </w:rPr>
                <m:t>i</m:t>
              </m:r>
              <m:ctrlPr>
                <w:rPr>
                  <w:rFonts w:ascii="Cambria Math" w:hAnsi="Cambria Math"/>
                  <w:b w:val="0"/>
                  <w:i/>
                  <w:color w:val="000000"/>
                  <w:sz w:val="32"/>
                  <w:szCs w:val="32"/>
                </w:rPr>
              </m:ctrlPr>
            </m:sub>
          </m:sSub>
          <m:r>
            <m:rPr>
              <m:nor/>
              <m:sty m:val="p"/>
            </m:rPr>
            <w:rPr>
              <w:b w:val="0"/>
              <w:i w:val="0"/>
              <w:color w:val="000000"/>
              <w:sz w:val="32"/>
              <w:szCs w:val="32"/>
            </w:rPr>
            <m:t>=60+</m:t>
          </m:r>
          <m:f>
            <m:fPr>
              <m:ctrlPr>
                <w:rPr>
                  <w:rFonts w:ascii="Cambria Math" w:hAnsi="Cambria Math"/>
                  <w:b w:val="0"/>
                  <w:i/>
                  <w:color w:val="00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nor/>
                    </m:rPr>
                    <w:rPr>
                      <w:b w:val="0"/>
                      <w:i/>
                      <w:iCs/>
                      <w:color w:val="000000"/>
                      <w:sz w:val="32"/>
                      <w:szCs w:val="32"/>
                    </w:rPr>
                    <m:t>X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color w:val="000000"/>
                      <w:sz w:val="32"/>
                      <w:szCs w:val="32"/>
                    </w:rPr>
                    <m:t>i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  <w:color w:val="000000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nor/>
                    </m:rPr>
                    <w:rPr>
                      <w:b w:val="0"/>
                      <w:i/>
                      <w:iCs/>
                      <w:color w:val="000000"/>
                      <w:sz w:val="32"/>
                      <w:szCs w:val="32"/>
                    </w:rPr>
                    <m:t>X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color w:val="000000"/>
                      <w:sz w:val="32"/>
                      <w:szCs w:val="32"/>
                    </w:rPr>
                    <m:t>i,min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i/>
                  <w:color w:val="000000"/>
                  <w:sz w:val="32"/>
                  <w:szCs w:val="32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nor/>
                    </m:rPr>
                    <w:rPr>
                      <w:b w:val="0"/>
                      <w:i/>
                      <w:iCs/>
                      <w:color w:val="000000"/>
                      <w:sz w:val="32"/>
                      <w:szCs w:val="32"/>
                    </w:rPr>
                    <m:t>X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color w:val="000000"/>
                      <w:sz w:val="32"/>
                      <w:szCs w:val="32"/>
                    </w:rPr>
                    <m:t>i,max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  <w:color w:val="000000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nor/>
                    </m:rPr>
                    <w:rPr>
                      <w:b w:val="0"/>
                      <w:i/>
                      <w:iCs/>
                      <w:color w:val="000000"/>
                      <w:sz w:val="32"/>
                      <w:szCs w:val="32"/>
                    </w:rPr>
                    <m:t>X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color w:val="000000"/>
                      <w:sz w:val="32"/>
                      <w:szCs w:val="32"/>
                    </w:rPr>
                    <m:t>i,min</m:t>
                  </m:r>
                  <m:ctrlPr>
                    <w:rPr>
                      <w:rFonts w:ascii="Cambria Math" w:hAnsi="Cambria Math"/>
                      <w:b w:val="0"/>
                      <w:i/>
                      <w:color w:val="000000"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i/>
                  <w:color w:val="000000"/>
                  <w:sz w:val="32"/>
                  <w:szCs w:val="32"/>
                </w:rPr>
              </m:ctrlPr>
            </m:den>
          </m:f>
          <m:r>
            <m:rPr>
              <m:nor/>
              <m:sty m:val="p"/>
            </m:rPr>
            <w:rPr>
              <w:b w:val="0"/>
              <w:i w:val="0"/>
              <w:color w:val="000000"/>
              <w:sz w:val="32"/>
              <w:szCs w:val="32"/>
            </w:rPr>
            <m:t>×40</m:t>
          </m:r>
        </m:oMath>
      </m:oMathPara>
    </w:p>
    <w:p>
      <w:pPr>
        <w:overflowPunct/>
        <w:spacing w:line="560" w:lineRule="exact"/>
        <w:ind w:firstLine="640" w:firstLineChars="200"/>
        <w:rPr>
          <w:b w:val="0"/>
          <w:sz w:val="32"/>
          <w:szCs w:val="32"/>
        </w:rPr>
      </w:pPr>
      <w:r>
        <w:rPr>
          <w:b w:val="0"/>
          <w:color w:val="000000"/>
          <w:sz w:val="32"/>
          <w:szCs w:val="32"/>
        </w:rPr>
        <w:t>其中：</w:t>
      </w:r>
      <m:oMath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b w:val="0"/>
                <w:i/>
                <w:iCs/>
                <w:color w:val="000000"/>
                <w:sz w:val="32"/>
                <w:szCs w:val="32"/>
              </w:rPr>
              <m:t>Y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b w:val="0"/>
                <w:i w:val="0"/>
                <w:color w:val="000000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ub>
        </m:sSub>
      </m:oMath>
      <w:r>
        <w:rPr>
          <w:b w:val="0"/>
          <w:color w:val="000000"/>
          <w:sz w:val="32"/>
          <w:szCs w:val="32"/>
        </w:rPr>
        <w:t>为该县（市、区）第</w:t>
      </w:r>
      <m:oMath>
        <m:r>
          <m:rPr>
            <m:nor/>
            <m:sty m:val="p"/>
          </m:rPr>
          <w:rPr>
            <w:b w:val="0"/>
            <w:i w:val="0"/>
            <w:color w:val="000000"/>
            <w:sz w:val="32"/>
            <w:szCs w:val="32"/>
          </w:rPr>
          <m:t>i</m:t>
        </m:r>
      </m:oMath>
      <w:r>
        <w:rPr>
          <w:b w:val="0"/>
          <w:color w:val="000000"/>
          <w:sz w:val="32"/>
          <w:szCs w:val="32"/>
        </w:rPr>
        <w:t>项指标得</w:t>
      </w:r>
      <w:r>
        <w:rPr>
          <w:b w:val="0"/>
          <w:sz w:val="32"/>
          <w:szCs w:val="32"/>
        </w:rPr>
        <w:t>分，</w:t>
      </w:r>
      <m:oMath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b w:val="0"/>
                <w:i/>
                <w:iCs/>
                <w:color w:val="000000"/>
                <w:sz w:val="32"/>
                <w:szCs w:val="32"/>
              </w:rPr>
              <m:t>X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b w:val="0"/>
                <w:i w:val="0"/>
                <w:color w:val="000000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ub>
        </m:sSub>
      </m:oMath>
      <w:r>
        <w:rPr>
          <w:b w:val="0"/>
          <w:sz w:val="32"/>
          <w:szCs w:val="32"/>
        </w:rPr>
        <w:t>为该县（市、区）第</w:t>
      </w:r>
      <m:oMath>
        <m:r>
          <m:rPr>
            <m:nor/>
            <m:sty m:val="p"/>
          </m:rPr>
          <w:rPr>
            <w:b w:val="0"/>
            <w:i w:val="0"/>
            <w:color w:val="000000"/>
            <w:sz w:val="32"/>
            <w:szCs w:val="32"/>
          </w:rPr>
          <m:t>i</m:t>
        </m:r>
      </m:oMath>
      <w:r>
        <w:rPr>
          <w:b w:val="0"/>
          <w:sz w:val="32"/>
          <w:szCs w:val="32"/>
        </w:rPr>
        <w:t>项指标值，</w:t>
      </w:r>
      <m:oMath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b w:val="0"/>
                <w:i/>
                <w:iCs/>
                <w:color w:val="000000"/>
                <w:sz w:val="32"/>
                <w:szCs w:val="32"/>
              </w:rPr>
              <m:t>X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b w:val="0"/>
                <w:i w:val="0"/>
                <w:color w:val="000000"/>
                <w:sz w:val="32"/>
                <w:szCs w:val="32"/>
              </w:rPr>
              <m:t>i,max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ub>
        </m:sSub>
      </m:oMath>
      <w:r>
        <w:rPr>
          <w:b w:val="0"/>
          <w:sz w:val="32"/>
          <w:szCs w:val="32"/>
        </w:rPr>
        <w:t>为第</w:t>
      </w:r>
      <m:oMath>
        <m:r>
          <m:rPr>
            <m:nor/>
            <m:sty m:val="p"/>
          </m:rPr>
          <w:rPr>
            <w:b w:val="0"/>
            <w:i w:val="0"/>
            <w:color w:val="000000"/>
            <w:sz w:val="32"/>
            <w:szCs w:val="32"/>
          </w:rPr>
          <m:t>i</m:t>
        </m:r>
      </m:oMath>
      <w:r>
        <w:rPr>
          <w:b w:val="0"/>
          <w:sz w:val="32"/>
          <w:szCs w:val="32"/>
        </w:rPr>
        <w:t>项指标各县（市、区）的最大值，</w:t>
      </w:r>
      <m:oMath>
        <m:sSub>
          <m:sSubP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b w:val="0"/>
                <w:i/>
                <w:iCs/>
                <w:color w:val="000000"/>
                <w:sz w:val="32"/>
                <w:szCs w:val="32"/>
              </w:rPr>
              <m:t>X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b w:val="0"/>
                <w:i w:val="0"/>
                <w:color w:val="000000"/>
                <w:sz w:val="32"/>
                <w:szCs w:val="32"/>
              </w:rPr>
              <m:t>i,min</m:t>
            </m:r>
            <m:ctrlPr>
              <w:rPr>
                <w:rFonts w:ascii="Cambria Math" w:hAnsi="Cambria Math"/>
                <w:b w:val="0"/>
                <w:i/>
                <w:color w:val="000000"/>
                <w:sz w:val="32"/>
                <w:szCs w:val="32"/>
              </w:rPr>
            </m:ctrlPr>
          </m:sub>
        </m:sSub>
      </m:oMath>
      <w:r>
        <w:rPr>
          <w:b w:val="0"/>
          <w:sz w:val="32"/>
          <w:szCs w:val="32"/>
        </w:rPr>
        <w:t>为第</w:t>
      </w:r>
      <m:oMath>
        <m:r>
          <m:rPr>
            <m:nor/>
            <m:sty m:val="p"/>
          </m:rPr>
          <w:rPr>
            <w:b w:val="0"/>
            <w:i w:val="0"/>
            <w:color w:val="000000"/>
            <w:sz w:val="32"/>
            <w:szCs w:val="32"/>
          </w:rPr>
          <m:t>i</m:t>
        </m:r>
      </m:oMath>
      <w:r>
        <w:rPr>
          <w:b w:val="0"/>
          <w:sz w:val="32"/>
          <w:szCs w:val="32"/>
        </w:rPr>
        <w:t>项指标各县（市、区）的最小值。</w:t>
      </w:r>
    </w:p>
    <w:p>
      <w:pPr>
        <w:spacing w:line="560" w:lineRule="exact"/>
        <w:ind w:firstLine="640" w:firstLineChars="200"/>
        <w:rPr>
          <w:b w:val="0"/>
          <w:sz w:val="32"/>
          <w:szCs w:val="32"/>
        </w:rPr>
      </w:pPr>
      <w:r>
        <w:rPr>
          <w:rFonts w:eastAsia="楷体_GB2312"/>
          <w:b w:val="0"/>
          <w:bCs/>
          <w:color w:val="000000"/>
          <w:sz w:val="32"/>
          <w:szCs w:val="32"/>
        </w:rPr>
        <w:t>步骤二</w:t>
      </w:r>
      <w:r>
        <w:rPr>
          <w:sz w:val="32"/>
          <w:szCs w:val="32"/>
        </w:rPr>
        <w:t>：</w:t>
      </w:r>
      <w:r>
        <w:rPr>
          <w:b w:val="0"/>
          <w:sz w:val="32"/>
          <w:szCs w:val="32"/>
        </w:rPr>
        <w:t>对个体分数进行加权，计算各县（市、区）综合得分。计算公式为：</w:t>
      </w:r>
      <m:oMath>
        <m:r>
          <m:rPr>
            <m:nor/>
          </m:rPr>
          <w:rPr>
            <w:b w:val="0"/>
            <w:i/>
            <w:iCs/>
            <w:sz w:val="32"/>
            <w:szCs w:val="32"/>
          </w:rPr>
          <m:t xml:space="preserve">F </m:t>
        </m:r>
        <m:r>
          <m:rPr>
            <m:nor/>
            <m:sty m:val="p"/>
          </m:rPr>
          <w:rPr>
            <w:b w:val="0"/>
            <w:i w:val="0"/>
            <w:sz w:val="32"/>
            <w:szCs w:val="32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naryPr>
          <m:sub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sub>
          <m:sup>
            <m:argPr>
              <m:argSz m:val="-1"/>
            </m:argP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sup>
          <m:e>
            <m:sSub>
              <m:sSubPr>
                <m:ctrlPr>
                  <w:rPr>
                    <w:rFonts w:ascii="Cambria Math" w:hAnsi="Cambria Math"/>
                    <w:b w:val="0"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i/>
                    <w:iCs/>
                    <w:sz w:val="32"/>
                    <w:szCs w:val="32"/>
                  </w:rPr>
                  <m:t>W</m:t>
                </m:r>
                <m:ctrlPr>
                  <w:rPr>
                    <w:rFonts w:ascii="Cambria Math" w:hAnsi="Cambria Math"/>
                    <w:b w:val="0"/>
                    <w:sz w:val="32"/>
                    <w:szCs w:val="32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b w:val="0"/>
                    <w:i w:val="0"/>
                    <w:sz w:val="32"/>
                    <w:szCs w:val="32"/>
                  </w:rPr>
                  <m:t>i</m:t>
                </m:r>
                <m:ctrlPr>
                  <w:rPr>
                    <w:rFonts w:ascii="Cambria Math" w:hAnsi="Cambria Math"/>
                    <w:b w:val="0"/>
                    <w:sz w:val="32"/>
                    <w:szCs w:val="32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i/>
                    <w:iCs/>
                    <w:sz w:val="32"/>
                    <w:szCs w:val="32"/>
                  </w:rPr>
                  <m:t>Y</m:t>
                </m:r>
                <m:ctrlPr>
                  <w:rPr>
                    <w:rFonts w:ascii="Cambria Math" w:hAnsi="Cambria Math"/>
                    <w:b w:val="0"/>
                    <w:i/>
                    <w:iCs/>
                    <w:sz w:val="32"/>
                    <w:szCs w:val="32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b w:val="0"/>
                    <w:i w:val="0"/>
                    <w:sz w:val="32"/>
                    <w:szCs w:val="32"/>
                  </w:rPr>
                  <m:t>i</m:t>
                </m:r>
                <m:ctrlPr>
                  <w:rPr>
                    <w:rFonts w:ascii="Cambria Math" w:hAnsi="Cambria Math"/>
                    <w:b w:val="0"/>
                    <w:i/>
                    <w:iCs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e>
        </m:nary>
      </m:oMath>
      <w:r>
        <w:rPr>
          <w:b w:val="0"/>
          <w:sz w:val="32"/>
          <w:szCs w:val="32"/>
        </w:rPr>
        <w:t xml:space="preserve"> </w:t>
      </w:r>
    </w:p>
    <w:p>
      <w:pPr>
        <w:overflowPunct/>
        <w:autoSpaceDE w:val="0"/>
        <w:autoSpaceDN w:val="0"/>
        <w:adjustRightInd w:val="0"/>
        <w:spacing w:line="560" w:lineRule="exact"/>
        <w:ind w:firstLine="640" w:firstLineChars="200"/>
        <w:rPr>
          <w:b w:val="0"/>
          <w:kern w:val="0"/>
          <w:sz w:val="32"/>
          <w:szCs w:val="32"/>
        </w:rPr>
      </w:pPr>
      <w:r>
        <w:rPr>
          <w:b w:val="0"/>
          <w:sz w:val="32"/>
          <w:szCs w:val="32"/>
        </w:rPr>
        <w:t>其中：</w:t>
      </w:r>
      <m:oMath>
        <m:r>
          <m:rPr>
            <m:nor/>
          </m:rPr>
          <w:rPr>
            <w:b w:val="0"/>
            <w:i/>
            <w:iCs/>
            <w:sz w:val="32"/>
            <w:szCs w:val="32"/>
          </w:rPr>
          <m:t>F</m:t>
        </m:r>
      </m:oMath>
      <w:r>
        <w:rPr>
          <w:b w:val="0"/>
          <w:sz w:val="32"/>
          <w:szCs w:val="32"/>
        </w:rPr>
        <w:t>为该县（市、区）综合分数，</w:t>
      </w:r>
      <m:oMath>
        <m:sSub>
          <m:sSubP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b w:val="0"/>
                <w:i/>
                <w:iCs/>
                <w:sz w:val="32"/>
                <w:szCs w:val="32"/>
              </w:rPr>
              <m:t>Y</m:t>
            </m: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b w:val="0"/>
                <w:i w:val="0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sub>
        </m:sSub>
      </m:oMath>
      <w:r>
        <w:rPr>
          <w:b w:val="0"/>
          <w:sz w:val="32"/>
          <w:szCs w:val="32"/>
        </w:rPr>
        <w:t>为该县（市、区）第</w:t>
      </w:r>
      <m:oMath>
        <m:r>
          <m:rPr>
            <m:nor/>
            <m:sty m:val="p"/>
          </m:rPr>
          <w:rPr>
            <w:b w:val="0"/>
            <w:i w:val="0"/>
            <w:color w:val="000000"/>
            <w:sz w:val="32"/>
            <w:szCs w:val="32"/>
          </w:rPr>
          <m:t>i</m:t>
        </m:r>
      </m:oMath>
      <w:r>
        <w:rPr>
          <w:b w:val="0"/>
          <w:sz w:val="32"/>
          <w:szCs w:val="32"/>
        </w:rPr>
        <w:t>项指标的个体分数，</w:t>
      </w:r>
      <m:oMath>
        <m:sSub>
          <m:sSubP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b w:val="0"/>
                <w:i/>
                <w:iCs/>
                <w:sz w:val="32"/>
                <w:szCs w:val="32"/>
              </w:rPr>
              <m:t>W</m:t>
            </m: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b w:val="0"/>
                <w:i w:val="0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b w:val="0"/>
                <w:sz w:val="32"/>
                <w:szCs w:val="32"/>
              </w:rPr>
            </m:ctrlPr>
          </m:sub>
        </m:sSub>
      </m:oMath>
      <w:r>
        <w:rPr>
          <w:b w:val="0"/>
          <w:sz w:val="32"/>
          <w:szCs w:val="32"/>
        </w:rPr>
        <w:t>为第</w:t>
      </w:r>
      <m:oMath>
        <m:r>
          <m:rPr>
            <m:nor/>
            <m:sty m:val="p"/>
          </m:rPr>
          <w:rPr>
            <w:b w:val="0"/>
            <w:i w:val="0"/>
            <w:color w:val="000000"/>
            <w:sz w:val="32"/>
            <w:szCs w:val="32"/>
          </w:rPr>
          <m:t>i</m:t>
        </m:r>
      </m:oMath>
      <w:r>
        <w:rPr>
          <w:b w:val="0"/>
          <w:sz w:val="32"/>
          <w:szCs w:val="32"/>
        </w:rPr>
        <w:t>项指标的权重。</w:t>
      </w:r>
    </w:p>
    <w:p>
      <w:pPr>
        <w:overflowPunct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b w:val="0"/>
          <w:kern w:val="0"/>
          <w:sz w:val="32"/>
          <w:szCs w:val="32"/>
        </w:rPr>
      </w:pPr>
      <w:r>
        <w:rPr>
          <w:rFonts w:eastAsia="黑体"/>
          <w:b w:val="0"/>
          <w:kern w:val="0"/>
          <w:sz w:val="32"/>
          <w:szCs w:val="32"/>
        </w:rPr>
        <w:t>三、结果认定</w:t>
      </w:r>
    </w:p>
    <w:p>
      <w:pPr>
        <w:pStyle w:val="2"/>
        <w:spacing w:after="0" w:line="560" w:lineRule="exact"/>
        <w:ind w:left="0" w:leftChars="0" w:firstLine="640" w:firstLineChars="200"/>
        <w:rPr>
          <w:sz w:val="32"/>
          <w:szCs w:val="32"/>
        </w:rPr>
      </w:pPr>
      <w:r>
        <w:rPr>
          <w:rFonts w:eastAsia="仿宋_GB2312"/>
          <w:b w:val="0"/>
          <w:kern w:val="0"/>
          <w:sz w:val="32"/>
          <w:szCs w:val="32"/>
        </w:rPr>
        <w:t>将全省136个</w:t>
      </w:r>
      <w:r>
        <w:rPr>
          <w:rFonts w:eastAsia="仿宋_GB2312"/>
          <w:b w:val="0"/>
          <w:sz w:val="32"/>
          <w:szCs w:val="32"/>
        </w:rPr>
        <w:t>县（市、区）</w:t>
      </w:r>
      <w:r>
        <w:rPr>
          <w:rFonts w:eastAsia="仿宋_GB2312"/>
          <w:b w:val="0"/>
          <w:kern w:val="0"/>
          <w:sz w:val="32"/>
          <w:szCs w:val="32"/>
        </w:rPr>
        <w:t>测算后按照综合得分高低进行排序，去除</w:t>
      </w:r>
      <w:r>
        <w:rPr>
          <w:rFonts w:eastAsia="仿宋_GB2312"/>
          <w:b w:val="0"/>
          <w:color w:val="000000"/>
          <w:sz w:val="32"/>
          <w:szCs w:val="32"/>
        </w:rPr>
        <w:t>“一票否决”和</w:t>
      </w:r>
      <w:r>
        <w:rPr>
          <w:rFonts w:eastAsia="仿宋_GB2312"/>
          <w:b w:val="0"/>
          <w:kern w:val="0"/>
          <w:sz w:val="32"/>
          <w:szCs w:val="32"/>
        </w:rPr>
        <w:t>已获评科技创新强县的县（市、区），选取各市排名第一位的县（市、区）确定为2023年度科技创新强县。</w:t>
      </w:r>
    </w:p>
    <w:p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0" w:footer="680" w:gutter="0"/>
      <w:pgNumType w:fmt="numberInDash" w:start="1"/>
      <w:cols w:space="720" w:num="1"/>
      <w:docGrid w:type="linesAndChars" w:linePitch="469" w:charSpace="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5423536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B7E3A3F"/>
    <w:rsid w:val="26831BBC"/>
    <w:rsid w:val="7B7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600" w:lineRule="exact"/>
      <w:jc w:val="both"/>
    </w:pPr>
    <w:rPr>
      <w:rFonts w:ascii="Times New Roman" w:hAnsi="Times New Roman" w:eastAsia="仿宋_GB2312" w:cs="Times New Roman"/>
      <w:b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2024-01-05T08:12:00Z</dcterms:created>
  <dc:creator>'Always</dc:creator>
  <cp:lastModifiedBy>'Always</cp:lastModifiedBy>
  <dcterms:modified xsi:type="dcterms:W3CDTF">2024-01-05T08:12:30Z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821E1E6DA1BE41A99646E27B3C4A3104_11</vt:lpwstr>
  </property>
</Properties>
</file>