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9CA0">
      <w:pPr>
        <w:spacing w:after="100" w:afterAutospacing="1" w:line="560" w:lineRule="exact"/>
        <w:jc w:val="center"/>
        <w:rPr>
          <w:rFonts w:hint="eastAsia" w:eastAsia="方正小标宋简体"/>
          <w:bCs/>
          <w:sz w:val="44"/>
          <w:szCs w:val="44"/>
        </w:rPr>
      </w:pPr>
      <w:bookmarkStart w:id="0" w:name="_Hlk174969008"/>
    </w:p>
    <w:p w14:paraId="422C5B3F">
      <w:pPr>
        <w:spacing w:after="100" w:afterAutospacing="1" w:line="560" w:lineRule="exact"/>
        <w:jc w:val="center"/>
        <w:rPr>
          <w:rFonts w:hint="eastAsia" w:eastAsia="方正小标宋简体"/>
          <w:bCs/>
          <w:sz w:val="44"/>
          <w:szCs w:val="44"/>
        </w:rPr>
      </w:pPr>
      <w:bookmarkStart w:id="1" w:name="_GoBack"/>
      <w:bookmarkEnd w:id="1"/>
      <w:r>
        <w:rPr>
          <w:rFonts w:hint="eastAsia" w:eastAsia="方正小标宋简体"/>
          <w:bCs/>
          <w:sz w:val="44"/>
          <w:szCs w:val="44"/>
        </w:rPr>
        <w:t>《山东省省级财政科技股权投资项目资金管理办法》的起草说明</w:t>
      </w:r>
      <w:bookmarkEnd w:id="0"/>
    </w:p>
    <w:p w14:paraId="64E6D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一、起草背景</w:t>
      </w:r>
    </w:p>
    <w:p w14:paraId="46C5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2020年，我省印发了《山东省人民政府关于实施财政资金股权投资改革试点的意见》（鲁政字〔2020〕16号），</w:t>
      </w:r>
      <w:r>
        <w:rPr>
          <w:rFonts w:hint="eastAsia" w:eastAsia="仿宋_GB2312"/>
          <w:sz w:val="32"/>
          <w:szCs w:val="32"/>
          <w:lang w:val="en-US" w:eastAsia="zh-CN"/>
        </w:rPr>
        <w:t>为</w:t>
      </w:r>
      <w:r>
        <w:rPr>
          <w:rFonts w:hint="eastAsia" w:eastAsia="仿宋_GB2312"/>
          <w:sz w:val="32"/>
          <w:szCs w:val="32"/>
        </w:rPr>
        <w:t>提高资金使用效益，拓宽企业融资渠道，创新财政资金投入方式，构建财政资金激励引导产业转型发展的长效机制，</w:t>
      </w:r>
      <w:r>
        <w:rPr>
          <w:rFonts w:hint="eastAsia" w:eastAsia="仿宋_GB2312"/>
          <w:sz w:val="32"/>
          <w:szCs w:val="32"/>
          <w:lang w:val="en-US" w:eastAsia="zh-CN"/>
        </w:rPr>
        <w:t>进一步</w:t>
      </w:r>
      <w:r>
        <w:rPr>
          <w:rFonts w:hint="eastAsia" w:eastAsia="仿宋_GB2312"/>
          <w:sz w:val="32"/>
          <w:szCs w:val="32"/>
        </w:rPr>
        <w:t>充分发挥市场在资源配置中的决定性作用，</w:t>
      </w:r>
      <w:r>
        <w:rPr>
          <w:rFonts w:hint="eastAsia" w:eastAsia="仿宋_GB2312"/>
          <w:sz w:val="32"/>
          <w:szCs w:val="32"/>
          <w:lang w:val="en-US" w:eastAsia="zh-CN"/>
        </w:rPr>
        <w:t>提升</w:t>
      </w:r>
      <w:r>
        <w:rPr>
          <w:rFonts w:hint="eastAsia" w:eastAsia="仿宋_GB2312"/>
          <w:sz w:val="32"/>
          <w:szCs w:val="32"/>
        </w:rPr>
        <w:t>财政资金循环使用</w:t>
      </w:r>
      <w:r>
        <w:rPr>
          <w:rFonts w:hint="eastAsia" w:eastAsia="仿宋_GB2312"/>
          <w:sz w:val="32"/>
          <w:szCs w:val="32"/>
          <w:lang w:val="en-US" w:eastAsia="zh-CN"/>
        </w:rPr>
        <w:t>效能。我厅制定了</w:t>
      </w:r>
      <w:r>
        <w:rPr>
          <w:rFonts w:hint="eastAsia" w:eastAsia="仿宋_GB2312"/>
          <w:sz w:val="32"/>
          <w:szCs w:val="32"/>
        </w:rPr>
        <w:t>《山东省科技股权投资实施细则》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以股权投资方式助推科技成果产业化和重大科技创新，支持科技型企业成长壮大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3434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" w:leftChars="7" w:firstLine="617" w:firstLineChars="19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，在前期科技股权项目直投的基础上，印发了《山东省省级财政科技股权投资项目改革工作方案》。2024年，制定了《山东省省级“拨投结合”科技项目管理实施细则》（鲁科字[2024]42号），创新性的开展了“先投后股”、“拨投结合”、省市联动支持地方重大专项等股权投资项目，探索科技资金市场化投入新渠道，推进科技成果转化新模式，为明确科技股权投资项目资金的管理和使用，起草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《山东省省级财政科技股权投资项目资金管理办法》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1416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二、起草过程</w:t>
      </w:r>
    </w:p>
    <w:p w14:paraId="6E403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" w:leftChars="7" w:firstLine="617" w:firstLineChars="193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认真学习了国家、其他省市关于财政股权投资方面出台的政策文件，针对我省多年来科技股权改革实践中发现的问题，结合审计对财政和管理机构提出的资金结余、资金置换、资金监管等事项，起草了《管理办法》初稿，明确了总体思路、适用范围、适用对象、基本原则等内容。</w:t>
      </w:r>
    </w:p>
    <w:p w14:paraId="35A0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" w:leftChars="7" w:firstLine="617" w:firstLineChars="193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管理办法》坚持市场导向与政府引导相结合，强化科技股权投资的市场化运作，确保财政资金高效利用；明确各方职责，细化操作流程，保障科技股权投资项目的顺利实施与监督；注重资金使用的规范性与透明度，防止资金挪用，确保资金用于科技创新；建立多元化退出机制与长效管理机制，保障财政资金的合理回收与再投资；同时，引入尽职免责机制，激发投资管理机构与人员的积极性，为全省科技创新工作提供坚实支撑。</w:t>
      </w:r>
    </w:p>
    <w:p w14:paraId="5995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" w:leftChars="7" w:firstLine="617" w:firstLineChars="193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《管理办法》已征求省财政厅、省财金集团意见，多次沟通交流，反复修改完善。8月26日，又在厅网站发布公公告，面向社会公开征求意见7个工作日。根据各方意见修改完善、经厅法规处审核后，形成了《管理办法》（审议稿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完成与省财政厅会签。</w:t>
      </w:r>
    </w:p>
    <w:p w14:paraId="2E3F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主要内容</w:t>
      </w:r>
    </w:p>
    <w:p w14:paraId="173D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（一）总则</w:t>
      </w:r>
      <w:r>
        <w:rPr>
          <w:rFonts w:hint="eastAsia" w:eastAsia="仿宋_GB2312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明确总体思路、适用范围、适用对象及基本原则。</w:t>
      </w:r>
    </w:p>
    <w:p w14:paraId="05AA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（二）各方职责。</w:t>
      </w:r>
      <w:r>
        <w:rPr>
          <w:rFonts w:hint="eastAsia" w:eastAsia="仿宋_GB2312"/>
          <w:sz w:val="32"/>
          <w:szCs w:val="32"/>
        </w:rPr>
        <w:t>明确省科技厅、省财政厅及投资管理机构在财政科技股权投资中的具体职责。</w:t>
      </w:r>
    </w:p>
    <w:p w14:paraId="67D1A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（三）资金支持范围及使用要求。</w:t>
      </w:r>
      <w:r>
        <w:rPr>
          <w:rFonts w:hint="eastAsia" w:eastAsia="仿宋_GB2312"/>
          <w:sz w:val="32"/>
          <w:szCs w:val="32"/>
        </w:rPr>
        <w:t>规定省级财政科技股权投资的支持范围、使用要求及资金置换、结余处理等规定。</w:t>
      </w:r>
    </w:p>
    <w:p w14:paraId="42F5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（四）注资资金使用要求。</w:t>
      </w:r>
      <w:r>
        <w:rPr>
          <w:rFonts w:hint="eastAsia" w:eastAsia="仿宋_GB2312"/>
          <w:sz w:val="32"/>
          <w:szCs w:val="32"/>
        </w:rPr>
        <w:t>对投资管理机构的出资、股权转化及资金回收等提出具体要求。</w:t>
      </w:r>
    </w:p>
    <w:p w14:paraId="75E9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（五）监督管理。</w:t>
      </w:r>
      <w:r>
        <w:rPr>
          <w:rFonts w:hint="eastAsia" w:eastAsia="仿宋_GB2312"/>
          <w:sz w:val="32"/>
          <w:szCs w:val="32"/>
        </w:rPr>
        <w:t>建立动态管理、投资运作评估及尽职免责机制，明确违规行为的惩戒措施。</w:t>
      </w:r>
    </w:p>
    <w:p w14:paraId="729CD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2"/>
          <w:szCs w:val="32"/>
        </w:rPr>
        <w:t>（六）附则。</w:t>
      </w:r>
      <w:r>
        <w:rPr>
          <w:rFonts w:hint="eastAsia" w:eastAsia="仿宋_GB2312"/>
          <w:sz w:val="32"/>
          <w:szCs w:val="32"/>
        </w:rPr>
        <w:t>规定《管理办法》的解释权、生效日期及有效期。</w:t>
      </w:r>
    </w:p>
    <w:p w14:paraId="400410B3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B65B0"/>
    <w:rsid w:val="001B65B0"/>
    <w:rsid w:val="005B2733"/>
    <w:rsid w:val="00EC13CB"/>
    <w:rsid w:val="24E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semiHidden/>
    <w:unhideWhenUsed/>
    <w:qFormat/>
    <w:uiPriority w:val="99"/>
    <w:pPr>
      <w:ind w:firstLine="420" w:firstLineChars="200"/>
    </w:pPr>
  </w:style>
  <w:style w:type="character" w:customStyle="1" w:styleId="6">
    <w:name w:val="正文文本缩进字符"/>
    <w:basedOn w:val="5"/>
    <w:link w:val="2"/>
    <w:semiHidden/>
    <w:qFormat/>
    <w:uiPriority w:val="99"/>
    <w:rPr>
      <w:rFonts w:ascii="Times New Roman" w:hAnsi="Times New Roman" w:eastAsia="宋体" w:cs="Times New Roman"/>
      <w:sz w:val="21"/>
      <w:szCs w:val="20"/>
    </w:rPr>
  </w:style>
  <w:style w:type="character" w:customStyle="1" w:styleId="7">
    <w:name w:val="正文首行缩进 2字符"/>
    <w:basedOn w:val="6"/>
    <w:link w:val="3"/>
    <w:semiHidden/>
    <w:qFormat/>
    <w:uiPriority w:val="99"/>
    <w:rPr>
      <w:rFonts w:ascii="Times New Roman" w:hAnsi="Times New Roman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615</Characters>
  <Lines>4</Lines>
  <Paragraphs>1</Paragraphs>
  <TotalTime>8</TotalTime>
  <ScaleCrop>false</ScaleCrop>
  <LinksUpToDate>false</LinksUpToDate>
  <CharactersWithSpaces>615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2024-10-22T00:37:00Z</dcterms:created>
  <dc:creator>xinyi wang</dc:creator>
  <cp:lastModifiedBy>ZGL</cp:lastModifiedBy>
  <cp:lastPrinted>2024-10-22T01:11:47Z</cp:lastPrinted>
  <dcterms:modified xsi:type="dcterms:W3CDTF">2024-10-22T01:18:50Z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565FE0D19C6040BF843F79AE73341C04_12</vt:lpwstr>
  </property>
</Properties>
</file>