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</w:p>
    <w:p>
      <w:pPr>
        <w:snapToGrid w:val="0"/>
        <w:spacing w:beforeLines="50" w:afterLines="50"/>
        <w:jc w:val="center"/>
        <w:rPr>
          <w:rFonts w:hint="default" w:ascii="Times New Roman" w:hAnsi="Times New Roman" w:eastAsia="方正小标宋简体" w:cs="Times New Roman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</w:rPr>
        <w:t>第</w:t>
      </w: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五</w:t>
      </w:r>
      <w:r>
        <w:rPr>
          <w:rFonts w:hint="default" w:ascii="Times New Roman" w:hAnsi="Times New Roman" w:eastAsia="方正小标宋简体" w:cs="Times New Roman"/>
          <w:sz w:val="44"/>
          <w:szCs w:val="36"/>
        </w:rPr>
        <w:t>批省级创新创业共同体名单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2"/>
        </w:rPr>
      </w:pPr>
    </w:p>
    <w:tbl>
      <w:tblPr>
        <w:tblStyle w:val="4"/>
        <w:tblW w:w="99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632"/>
        <w:gridCol w:w="5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</w:rPr>
              <w:t>省级创新创业共同体名称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  <w:t>牵头建设单位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left"/>
              <w:textAlignment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山东省建筑与交通双碳创新创业共同体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left"/>
              <w:textAlignment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中铁十局集团有限公司、中国建筑第八工程局有限公司、金云数据科技有限公司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left"/>
              <w:textAlignment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山东省海洋工程装备及材料创新创业共同体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left"/>
              <w:textAlignment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中集海洋工程研究院有限公司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left"/>
              <w:textAlignment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山东省船舶产业创新创业共同体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left"/>
              <w:textAlignment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中国船舶集团海洋装备研究院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left"/>
              <w:textAlignment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山东省海洋养殖创新创业共同体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left"/>
              <w:textAlignment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山东鑫发控股有限公司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left"/>
              <w:textAlignment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山东省锂电产业创新创业共同体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60" w:lineRule="exact"/>
              <w:jc w:val="left"/>
              <w:textAlignment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山东吉利欣旺达动力电池有限公司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 w:val="0"/>
        <w:spacing w:line="580" w:lineRule="atLeast"/>
        <w:ind w:firstLine="640"/>
        <w:textAlignment w:val="auto"/>
        <w:rPr>
          <w:rFonts w:hint="default" w:ascii="Times New Roman" w:hAnsi="Times New Roman" w:cs="Times New Roman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477A3F02"/>
    <w:rsid w:val="1B9A401A"/>
    <w:rsid w:val="477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2022-12-02T09:10:00Z</dcterms:created>
  <dc:creator>86185</dc:creator>
  <cp:lastModifiedBy>86185</cp:lastModifiedBy>
  <dcterms:modified xsi:type="dcterms:W3CDTF">2022-12-02T09:11:02Z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6690FBE8F17D4520BABD0B698757637A</vt:lpwstr>
  </property>
</Properties>
</file>