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1842" w:tblpY="1088"/>
        <w:tblOverlap w:val="never"/>
        <w:tblW w:w="865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6203"/>
        <w:gridCol w:w="1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序号</w:t>
            </w:r>
          </w:p>
        </w:tc>
        <w:tc>
          <w:tcPr>
            <w:tcW w:w="6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中心名称</w:t>
            </w: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lang w:val="en-US" w:eastAsia="zh-CN"/>
              </w:rPr>
              <w:t>评价结果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年批复建设的省临床中心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山东省消化系统疾病临床医学研究中心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山东省口腔疾病临床医学研究中心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山东省精神心理疾病临床医学研究中心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年批复建设的省临床中心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山东省免疫疾病与痛风临床医学研究中心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山东省感染性疾病临床医学研究中心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山东省儿童健康与疾病临床医学研究中心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黑体" w:cs="黑体"/>
                <w:kern w:val="0"/>
                <w:sz w:val="24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黑体" w:cs="黑体"/>
                <w:kern w:val="0"/>
                <w:sz w:val="24"/>
              </w:rPr>
              <w:t>年批复建设的省临床中心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山东省耳鼻喉疾病临床医学研究中心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（烟台毓璜顶医院）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6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山东省耳鼻喉疾病临床医学研究中心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（山东省耳鼻喉医院）</w:t>
            </w: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6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山东省骨科与运动康复临床医学研究中心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4"/>
                <w:lang w:val="en-US" w:eastAsia="zh-CN"/>
              </w:rPr>
              <w:t>中</w:t>
            </w:r>
          </w:p>
        </w:tc>
      </w:tr>
    </w:tbl>
    <w:p>
      <w:p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山东省临床医学研究中心绩效评价结果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61C0619"/>
    <w:rsid w:val="361C0619"/>
    <w:rsid w:val="6BE4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2023-06-19T08:56:00Z</dcterms:created>
  <dc:creator>'Always</dc:creator>
  <cp:lastModifiedBy>'Always</cp:lastModifiedBy>
  <dcterms:modified xsi:type="dcterms:W3CDTF">2023-06-19T08:57:06Z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9A237C502AAD4B73AA0D96FE147EBD0D_11</vt:lpwstr>
  </property>
</Properties>
</file>