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20" w:lineRule="exact"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</w:t>
      </w:r>
      <w:r>
        <w:rPr>
          <w:rFonts w:hint="eastAsia" w:ascii="黑体" w:hAnsi="黑体" w:eastAsia="黑体" w:cs="Times New Roman"/>
          <w:sz w:val="32"/>
          <w:szCs w:val="32"/>
        </w:rPr>
        <w:t>件</w:t>
      </w:r>
      <w:bookmarkStart w:id="0" w:name="_GoBack"/>
      <w:bookmarkEnd w:id="0"/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ascii="Times New Roman" w:hAnsi="Times New Roman" w:eastAsia="方正小标宋简体"/>
          <w:color w:val="000000"/>
          <w:kern w:val="0"/>
          <w:sz w:val="44"/>
          <w:szCs w:val="44"/>
          <w:lang w:bidi="ar"/>
        </w:rPr>
        <w:t>2022年度第二批拟建设省技术创新中心名单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3863"/>
        <w:gridCol w:w="2031"/>
        <w:gridCol w:w="4033"/>
        <w:gridCol w:w="2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tblHeader/>
          <w:jc w:val="center"/>
        </w:trPr>
        <w:tc>
          <w:tcPr>
            <w:tcW w:w="89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3863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申报技术创新中心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申报领域</w:t>
            </w:r>
          </w:p>
        </w:tc>
        <w:tc>
          <w:tcPr>
            <w:tcW w:w="4033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牵头单位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95" w:type="dxa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863" w:type="dxa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山东省海洋食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品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高质化利用技术创新中心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现代海洋</w:t>
            </w:r>
          </w:p>
        </w:tc>
        <w:tc>
          <w:tcPr>
            <w:tcW w:w="4033" w:type="dxa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青岛海洋食品营养与健康创新研究院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青岛市科技局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95" w:type="dxa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863" w:type="dxa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山东省牡蛎种业技术创新中心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现代海洋</w:t>
            </w:r>
          </w:p>
        </w:tc>
        <w:tc>
          <w:tcPr>
            <w:tcW w:w="4033" w:type="dxa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青岛前沿海洋种业有限公司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青岛市科技局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95" w:type="dxa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863" w:type="dxa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山东省高端远洋渔船技术创新中心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现代海洋</w:t>
            </w:r>
          </w:p>
        </w:tc>
        <w:tc>
          <w:tcPr>
            <w:tcW w:w="4033" w:type="dxa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fldChar w:fldCharType="begin"/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instrText xml:space="preserve"> HYPERLINK "http://www.baidu.com/link?url=MTPSHg66jMUGuty9-Q_Z_YK3Mz5B8PRBOer9fDybZL1EnEOHxNyivjY4pfXiDXIh" \t "_blank" </w:instrTex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fldChar w:fldCharType="separate"/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蓬莱中柏京鲁船业有限公司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fldChar w:fldCharType="end"/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烟台市科技局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95" w:type="dxa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863" w:type="dxa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山东省海卤水资源高效利用技术创新中心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现代海洋</w:t>
            </w:r>
          </w:p>
        </w:tc>
        <w:tc>
          <w:tcPr>
            <w:tcW w:w="4033" w:type="dxa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山东海化集团有限公司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潍坊市科技局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895" w:type="dxa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863" w:type="dxa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山东省芳纶产业技术创新中心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新材料</w:t>
            </w:r>
          </w:p>
        </w:tc>
        <w:tc>
          <w:tcPr>
            <w:tcW w:w="4033" w:type="dxa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fldChar w:fldCharType="begin"/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instrText xml:space="preserve"> HYPERLINK "http://www.baidu.com/link?url=MTPSHg66jMUGuty9-Q_Z_YK3Mz5B8PRBOer9fDybZL1EnEOHxNyivjY4pfXiDXIh" \t "_blank" </w:instrTex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fldChar w:fldCharType="separate"/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烟台泰和新材料股份有限公司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fldChar w:fldCharType="end"/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烟台市科技局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2C683392"/>
    <w:rsid w:val="2C683392"/>
    <w:rsid w:val="6A2B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widowControl w:val="0"/>
      <w:ind w:firstLine="420"/>
      <w:jc w:val="both"/>
    </w:pPr>
    <w:rPr>
      <w:rFonts w:ascii="仿宋_GB2312" w:hAnsi="Calibri" w:eastAsia="仿宋_GB2312" w:cs="仿宋_GB2312"/>
      <w:kern w:val="2"/>
      <w:sz w:val="32"/>
      <w:szCs w:val="24"/>
      <w:lang w:val="en-US" w:eastAsia="zh-CN" w:bidi="ar-SA"/>
    </w:rPr>
  </w:style>
  <w:style w:type="paragraph" w:styleId="3">
    <w:name w:val="Body Text Indent"/>
    <w:basedOn w:val="1"/>
    <w:next w:val="1"/>
    <w:qFormat/>
    <w:uiPriority w:val="0"/>
    <w:pPr>
      <w:spacing w:after="120" w:afterLines="0"/>
      <w:ind w:left="420" w:leftChars="200"/>
    </w:pPr>
  </w:style>
  <w:style w:type="paragraph" w:styleId="4">
    <w:name w:val="toc 7"/>
    <w:basedOn w:val="1"/>
    <w:next w:val="1"/>
    <w:unhideWhenUsed/>
    <w:qFormat/>
    <w:uiPriority w:val="39"/>
    <w:pPr>
      <w:ind w:left="2520" w:leftChars="1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2022-12-22T03:46:00Z</dcterms:created>
  <dc:creator>86185</dc:creator>
  <cp:lastModifiedBy>86185</cp:lastModifiedBy>
  <dcterms:modified xsi:type="dcterms:W3CDTF">2022-12-22T03:46:39Z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62CF67172EE746DD8BEDD9B6AFBB8F4F</vt:lpwstr>
  </property>
</Properties>
</file>