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 w14:paraId="3360179B">
      <w:pPr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69F1605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第八届“创业齐鲁·共赢未来”高层次人才</w:t>
      </w:r>
    </w:p>
    <w:p w14:paraId="46BF890E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创业大赛优胜人选支持政策</w:t>
      </w:r>
    </w:p>
    <w:p w14:paraId="44F7D120">
      <w:pPr>
        <w:pStyle w:val="2"/>
        <w:ind w:firstLine="720"/>
        <w:rPr>
          <w:rFonts w:hint="eastAsia" w:ascii="Times New Roman" w:hAnsi="Times New Roman"/>
          <w:kern w:val="2"/>
          <w:sz w:val="36"/>
          <w:szCs w:val="36"/>
        </w:rPr>
      </w:pPr>
    </w:p>
    <w:p w14:paraId="2F4FE5B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通过举办创业大赛，遴选产生150名左右尚未在我省创办企业的种子期优胜人选（前70名人选作为省级孵化培育对象，其余80名左右人选作为市级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孵化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培育对象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纳入省级创业项目库跟踪管理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，“一人一策”制定孵化台账，明确支持举措、孵化目标和时限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遴选产生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90名左右已在我省创办企业的初创期、成长期优胜人选。支持政策如下：</w:t>
      </w:r>
    </w:p>
    <w:p w14:paraId="7266A91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</w:rPr>
        <w:t>加大省市人才工程支持力度。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对初创期、成长期优胜人选，按程序纳入泰山产业创业领军人才支持，省财政一次性给予每名入选者50万元创业启动经费，择优给予最高1500万元股权投资支持，支持期满后择优给予100万元一次性奖励。对种子期优胜人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省级孵化培育对象，在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大赛结束后一年内落地，且满足初创期人选条件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的，按程序纳入泰山产业创业领军人才给予相应支持；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市级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孵化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培育对象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，由项目承接市纳入市级创业人才进行支持，待项目落地转化后，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达到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初创期或成长期条件的，可直接参加创业大赛决赛。</w:t>
      </w:r>
    </w:p>
    <w:p w14:paraId="057B508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snapToGrid/>
          <w:sz w:val="32"/>
          <w:szCs w:val="32"/>
        </w:rPr>
        <w:t>提供专业对接孵化服务。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对种子期优胜人选，优先推荐入驻各类科技企业孵化载体，提供项目申报指导、创业培训、大型科研仪器共用共享、行政审批便捷办理等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。将优胜人选创办企业（项目）纳入山东科技大市场服务范围，定期组织产学研对接、项目路演、专题沙龙等活动。定期组织省属企业、链主企业与优胜人选创办企业对接活动，促进大中小企业融通创新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。</w:t>
      </w:r>
    </w:p>
    <w:p w14:paraId="4354E09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</w:rPr>
        <w:t>优化创业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人才成长</w:t>
      </w:r>
      <w:r>
        <w:rPr>
          <w:rFonts w:hint="eastAsia" w:ascii="楷体_GB2312" w:hAnsi="楷体_GB2312" w:eastAsia="楷体_GB2312" w:cs="楷体_GB2312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。优先推荐优胜人选参加国家级创新创业赛事。统筹省市主流媒体平台，根据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优胜人选创办企业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需求，视情加大宣传报道力度。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对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获得泰山产业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创业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领军人才支持的优胜人选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纳入“知才兴鲁”知识产权服务高端创新人才行动服务范围，开通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高层次人才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专利预审服务“直通车”，协调专业机构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为人才提供知识产权制度建立、风险应对等服务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个人意愿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向高校院所推荐担任兼职或客座教授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，优先推荐加入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省高层次人才发展促进会，享受对外交流、政策咨询等服务。</w:t>
      </w:r>
    </w:p>
    <w:p w14:paraId="601F1AE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强化金融赋能支持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。将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优胜人选创办企业（项目）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纳入省财金企业联盟服务范围，给予优先投资对接服务。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建立面向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优胜人选创办企业（项目）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等的精准推介机制，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引导省级政府投资基金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、省属企业创投基金等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按市场化方式给予投资支持。将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优胜人选创办企业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作为“金润工程”、民企金融直连服务机制服务对象，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逐一建立金融服务团队，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及时了解企业诉求建议，为企业提供高效、便捷、精准金融服务。将符合条件的优胜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人选创办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企业纳入省科技成果转化贷款贴息支持范围，按照企业实际支付贷款利息的40%，最高给予50万元贴息支持。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优胜人选创办企业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/>
        </w:rPr>
        <w:t>可按规定申请最高400万元创业担保贷款或最高1000万元“创业提振贷”。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鲁科保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等金融工具支持，每年为每家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优胜人选创办企业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给予最高30万元保费补贴。发挥省科融信综合服务平台作用，对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优胜人选创办企业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进行科技增信，符合条件的提供“无担保”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“无抵押”融资贷款。</w:t>
      </w:r>
    </w:p>
    <w:p w14:paraId="6E726C6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提供上市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培育支持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对符合条件的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优胜人选创办企业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，纳入上市后备资源库，给予培训培育，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定期组织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走进交易所等活动。对于推进上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市过程中企业反馈的困难问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题，依托省级统筹协调机制，积极给予帮助解决。对符合条件的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优胜人选创办企业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鼓励在我省区域股权交易市场（四板市场）挂牌，支持其利用三四板对接机制，到全国股转公司（三板市场）挂牌。对符合条件的挂牌企业，支持其上市融资。省级财政对在三四板挂牌的创业企业给予一定的奖补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FBF128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sz w:val="32"/>
          <w:szCs w:val="32"/>
        </w:rPr>
        <w:t>完善创业人才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日常</w:t>
      </w:r>
      <w:r>
        <w:rPr>
          <w:rFonts w:hint="eastAsia" w:ascii="楷体_GB2312" w:hAnsi="楷体_GB2312" w:eastAsia="楷体_GB2312" w:cs="楷体_GB2312"/>
          <w:sz w:val="32"/>
          <w:szCs w:val="32"/>
        </w:rPr>
        <w:t>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初创期、成长期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优胜人选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和落地创办企业后的种子期优胜人选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，由企业所在市或项目承接市颁发市级“人才卡”，享受市级高层次人才绿色通道及服务事项。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 w:bidi="ar"/>
        </w:rPr>
        <w:t>对</w:t>
      </w:r>
      <w:r>
        <w:rPr>
          <w:rFonts w:ascii="Times New Roman" w:hAnsi="Times New Roman" w:eastAsia="仿宋_GB2312" w:cs="Times New Roman"/>
          <w:snapToGrid w:val="0"/>
          <w:sz w:val="32"/>
          <w:szCs w:val="32"/>
          <w:lang w:bidi="ar"/>
        </w:rPr>
        <w:t>获得泰山产业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 w:bidi="ar"/>
        </w:rPr>
        <w:t>创业</w:t>
      </w:r>
      <w:r>
        <w:rPr>
          <w:rFonts w:ascii="Times New Roman" w:hAnsi="Times New Roman" w:eastAsia="仿宋_GB2312" w:cs="Times New Roman"/>
          <w:snapToGrid w:val="0"/>
          <w:sz w:val="32"/>
          <w:szCs w:val="32"/>
          <w:lang w:bidi="ar"/>
        </w:rPr>
        <w:t>领军人才支持的优胜人选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颁发“山东惠才卡”，给予户籍办理、配偶就业、医疗保健、交通出行、住房购房、旅游健身、休假疗养、税务服务等方面配套政策，解决创业人才后顾之忧。</w:t>
      </w:r>
    </w:p>
    <w:p w14:paraId="51105D48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974F31B6-161F-43BC-8028-ED98BFFE5B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C98F6E4-C776-498F-BA40-CC6F3BC922E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AAD7A7F-C33D-4041-8AF4-5F81E5D167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53D2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2B396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2B396">
                    <w:pPr>
                      <w:pStyle w:val="8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5C50B82"/>
    <w:rsid w:val="0081073B"/>
    <w:rsid w:val="0523067A"/>
    <w:rsid w:val="074D717F"/>
    <w:rsid w:val="076562D9"/>
    <w:rsid w:val="078776D0"/>
    <w:rsid w:val="09526CCE"/>
    <w:rsid w:val="0DA40E2C"/>
    <w:rsid w:val="0E106E0A"/>
    <w:rsid w:val="107B4D5D"/>
    <w:rsid w:val="12136418"/>
    <w:rsid w:val="1A577F3B"/>
    <w:rsid w:val="1BC11A92"/>
    <w:rsid w:val="1C6B0E44"/>
    <w:rsid w:val="222B6717"/>
    <w:rsid w:val="23024E6A"/>
    <w:rsid w:val="25C50B82"/>
    <w:rsid w:val="26D46B1D"/>
    <w:rsid w:val="28907440"/>
    <w:rsid w:val="2B3F1D96"/>
    <w:rsid w:val="2E876B6B"/>
    <w:rsid w:val="32920CD6"/>
    <w:rsid w:val="354606C2"/>
    <w:rsid w:val="41BE41FA"/>
    <w:rsid w:val="421F113C"/>
    <w:rsid w:val="4773650C"/>
    <w:rsid w:val="4F5A37B4"/>
    <w:rsid w:val="54B25E13"/>
    <w:rsid w:val="565F2C06"/>
    <w:rsid w:val="58C779E0"/>
    <w:rsid w:val="5B2C6D41"/>
    <w:rsid w:val="5F992C7F"/>
    <w:rsid w:val="62F41737"/>
    <w:rsid w:val="6B1204DA"/>
    <w:rsid w:val="6EEEDA72"/>
    <w:rsid w:val="74373814"/>
    <w:rsid w:val="755A7479"/>
    <w:rsid w:val="75F71CA5"/>
    <w:rsid w:val="76222D1A"/>
    <w:rsid w:val="7B380E48"/>
    <w:rsid w:val="7B7967E3"/>
    <w:rsid w:val="7C4D1E27"/>
    <w:rsid w:val="7D8A0E59"/>
    <w:rsid w:val="D7EE91DF"/>
    <w:rsid w:val="F87CD9A3"/>
    <w:rsid w:val="FFFFB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黑体" w:cs="宋体"/>
      <w:bCs/>
      <w:kern w:val="0"/>
      <w:sz w:val="28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Body Text First Indent 2"/>
    <w:basedOn w:val="4"/>
    <w:next w:val="6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640"/>
    </w:pPr>
    <w:rPr>
      <w:rFonts w:ascii="仿宋_GB2312" w:eastAsia="仿宋_GB2312"/>
      <w:sz w:val="32"/>
      <w:szCs w:val="20"/>
    </w:rPr>
  </w:style>
  <w:style w:type="paragraph" w:styleId="5">
    <w:name w:val="Normal Indent"/>
    <w:basedOn w:val="1"/>
    <w:next w:val="1"/>
    <w:qFormat/>
    <w:uiPriority w:val="0"/>
    <w:pPr>
      <w:adjustRightInd w:val="0"/>
      <w:spacing w:line="360" w:lineRule="auto"/>
      <w:ind w:firstLine="420"/>
      <w:jc w:val="left"/>
      <w:textAlignment w:val="baseline"/>
    </w:pPr>
    <w:rPr>
      <w:rFonts w:ascii="宋体" w:hAnsi="Calibri"/>
      <w:kern w:val="0"/>
      <w:sz w:val="28"/>
      <w:szCs w:val="20"/>
    </w:r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4027</Words>
  <Characters>4188</Characters>
  <Lines>0</Lines>
  <Paragraphs>0</Paragraphs>
  <TotalTime>62</TotalTime>
  <ScaleCrop>false</ScaleCrop>
  <LinksUpToDate>false</LinksUpToDate>
  <CharactersWithSpaces>4193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2026-02-26T17:37:00Z</dcterms:created>
  <dc:creator>WPS_1657519000</dc:creator>
  <cp:lastModifiedBy>Administrator</cp:lastModifiedBy>
  <cp:lastPrinted>2026-02-28T15:27:00Z</cp:lastPrinted>
  <dcterms:modified xsi:type="dcterms:W3CDTF">2026-03-06T09:06:25Z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1EF4BACF4F674326A07B7F095068EED9_13</vt:lpwstr>
  </property>
  <property fmtid="{D5CDD505-2E9C-101B-9397-08002B2CF9AE}" pid="4" name="KSOTemplateDocerSaveRecord">
    <vt:lpwstr>eyJoZGlkIjoiZjQ1MDQwMmQzMDI1NzcwMWZmMDMwOGZiNTU2ZWY4YjAifQ==</vt:lpwstr>
  </property>
</Properties>
</file>