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1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2023年山东省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十一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14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86"/>
        <w:gridCol w:w="2085"/>
        <w:gridCol w:w="1143"/>
        <w:gridCol w:w="3314"/>
        <w:gridCol w:w="2944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9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08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3314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9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济南赛斯家禽科技有限公司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党金珠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济南市长清区平安办事处南桥村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明发路111号</w:t>
            </w:r>
          </w:p>
        </w:tc>
        <w:tc>
          <w:tcPr>
            <w:tcW w:w="2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屏障环境</w:t>
            </w:r>
          </w:p>
        </w:tc>
        <w:tc>
          <w:tcPr>
            <w:tcW w:w="3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SPF级：鸡（蛋）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9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济南斯帕法斯家禽有限公司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武坚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济南市历城区王舍人镇水坡村299号</w:t>
            </w:r>
          </w:p>
        </w:tc>
        <w:tc>
          <w:tcPr>
            <w:tcW w:w="2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屏障环境</w:t>
            </w:r>
          </w:p>
        </w:tc>
        <w:tc>
          <w:tcPr>
            <w:tcW w:w="3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SPF级：鸡（蛋）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  <w:t>发证日期：2023年8月7日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FF"/>
          <w:kern w:val="2"/>
          <w:sz w:val="28"/>
          <w:szCs w:val="28"/>
          <w:lang w:val="en-US" w:eastAsia="zh-CN"/>
        </w:rPr>
        <w:t>有效期：  2023年8月7日-2028年8月6日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82B23BD"/>
    <w:rsid w:val="298011DE"/>
    <w:rsid w:val="782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2023-08-30T11:50:00Z</dcterms:created>
  <dc:creator>'Always</dc:creator>
  <cp:lastModifiedBy>'Always</cp:lastModifiedBy>
  <dcterms:modified xsi:type="dcterms:W3CDTF">2023-08-30T11:50:18Z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553C71A88F474AA7BB6F3D76CB12DADF_11</vt:lpwstr>
  </property>
</Properties>
</file>