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第六批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4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75"/>
        <w:gridCol w:w="2188"/>
        <w:gridCol w:w="1143"/>
        <w:gridCol w:w="2826"/>
        <w:gridCol w:w="1437"/>
        <w:gridCol w:w="1463"/>
        <w:gridCol w:w="3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47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188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82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37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97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济宁市食品药品检验检测研究院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张莹</w:t>
            </w: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济宁市高新区海川路16号高新区大学园A2号楼8层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实验动物使用许可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屏障环境 </w:t>
            </w:r>
          </w:p>
        </w:tc>
        <w:tc>
          <w:tcPr>
            <w:tcW w:w="3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普通环境 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普通级：兔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烟台毓璜顶医院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宋西成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烟台市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芝罘区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毓璜顶东路20号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普通环境+IVC </w:t>
            </w:r>
          </w:p>
        </w:tc>
        <w:tc>
          <w:tcPr>
            <w:tcW w:w="3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8"/>
                <w:szCs w:val="28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普通环境</w:t>
            </w:r>
          </w:p>
        </w:tc>
        <w:tc>
          <w:tcPr>
            <w:tcW w:w="3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普通级：兔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山东省医学科学院药物研究所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王晓静</w:t>
            </w:r>
          </w:p>
        </w:tc>
        <w:tc>
          <w:tcPr>
            <w:tcW w:w="2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济南市槐荫区青岛路6699号药学楼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实验动物使用许可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  <w:t>普通环境</w:t>
            </w:r>
          </w:p>
        </w:tc>
        <w:tc>
          <w:tcPr>
            <w:tcW w:w="3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  <w:t>普通级：兔、犬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8"/>
                <w:szCs w:val="28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  <w:t xml:space="preserve">屏障环境 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  <w:t>SPF级：小鼠、大鼠、豚鼠、地鼠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  <w:t>施慧达药业集团（吉林）有限公司山东生物科技分公司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  <w:t>徐学智</w:t>
            </w:r>
          </w:p>
        </w:tc>
        <w:tc>
          <w:tcPr>
            <w:tcW w:w="28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  <w:t>济南市高新区春兰路1177号银丰生物城5地块2号楼02号室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实验动物使用许可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  <w:t xml:space="preserve">屏障环境  </w:t>
            </w:r>
          </w:p>
        </w:tc>
        <w:tc>
          <w:tcPr>
            <w:tcW w:w="3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  <w:t>SPF级：小鼠、大鼠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4CF662F"/>
    <w:rsid w:val="34C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2024-09-20T04:47:00Z</dcterms:created>
  <dc:creator>'Always</dc:creator>
  <cp:lastModifiedBy>'Always</cp:lastModifiedBy>
  <dcterms:modified xsi:type="dcterms:W3CDTF">2024-09-20T04:47:38Z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0D54B3675AE24227A57C21F11C896DCE_11</vt:lpwstr>
  </property>
</Properties>
</file>