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14E87">
      <w:pPr>
        <w:keepNext w:val="0"/>
        <w:keepLines w:val="0"/>
        <w:pageBreakBefore w:val="0"/>
        <w:kinsoku/>
        <w:wordWrap/>
        <w:overflowPunct/>
        <w:topLinePunct w:val="0"/>
        <w:autoSpaceDE/>
        <w:autoSpaceDN/>
        <w:bidi w:val="0"/>
        <w:adjustRightInd/>
        <w:snapToGrid w:val="0"/>
        <w:spacing w:after="0" w:afterLines="0" w:line="580" w:lineRule="exact"/>
        <w:jc w:val="both"/>
        <w:textAlignment w:val="auto"/>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附件1</w:t>
      </w:r>
    </w:p>
    <w:bookmarkEnd w:id="0"/>
    <w:p w14:paraId="748B9151">
      <w:pPr>
        <w:keepNext w:val="0"/>
        <w:keepLines w:val="0"/>
        <w:pageBreakBefore w:val="0"/>
        <w:kinsoku/>
        <w:wordWrap/>
        <w:overflowPunct/>
        <w:topLinePunct w:val="0"/>
        <w:autoSpaceDE/>
        <w:autoSpaceDN/>
        <w:bidi w:val="0"/>
        <w:adjustRightInd/>
        <w:snapToGrid w:val="0"/>
        <w:spacing w:after="0" w:afterLines="0" w:line="580" w:lineRule="exact"/>
        <w:jc w:val="center"/>
        <w:textAlignment w:val="auto"/>
        <w:rPr>
          <w:rFonts w:hint="eastAsia" w:ascii="方正小标宋简体" w:hAnsi="黑体" w:eastAsia="方正小标宋简体"/>
          <w:sz w:val="44"/>
          <w:szCs w:val="44"/>
        </w:rPr>
      </w:pPr>
    </w:p>
    <w:p w14:paraId="093EEE66">
      <w:pPr>
        <w:keepNext w:val="0"/>
        <w:keepLines w:val="0"/>
        <w:pageBreakBefore w:val="0"/>
        <w:kinsoku/>
        <w:wordWrap/>
        <w:overflowPunct/>
        <w:topLinePunct w:val="0"/>
        <w:autoSpaceDE/>
        <w:autoSpaceDN/>
        <w:bidi w:val="0"/>
        <w:adjustRightInd/>
        <w:snapToGrid w:val="0"/>
        <w:spacing w:after="0" w:afterLines="0" w:line="58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山东省技术转移人才培养基地管理办法</w:t>
      </w:r>
    </w:p>
    <w:p w14:paraId="2C94CA8B">
      <w:pPr>
        <w:keepNext w:val="0"/>
        <w:keepLines w:val="0"/>
        <w:pageBreakBefore w:val="0"/>
        <w:kinsoku/>
        <w:wordWrap/>
        <w:overflowPunct/>
        <w:topLinePunct w:val="0"/>
        <w:autoSpaceDE/>
        <w:autoSpaceDN/>
        <w:bidi w:val="0"/>
        <w:adjustRightInd/>
        <w:snapToGrid w:val="0"/>
        <w:spacing w:after="0" w:afterLines="0" w:line="580"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征求意见稿</w:t>
      </w:r>
      <w:r>
        <w:rPr>
          <w:rFonts w:hint="eastAsia" w:ascii="楷体_GB2312" w:hAnsi="楷体_GB2312" w:eastAsia="楷体_GB2312" w:cs="楷体_GB2312"/>
          <w:sz w:val="32"/>
          <w:szCs w:val="32"/>
          <w:lang w:eastAsia="zh-CN"/>
        </w:rPr>
        <w:t>）</w:t>
      </w:r>
    </w:p>
    <w:p w14:paraId="2C87EAEF">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3360" w:firstLineChars="1050"/>
        <w:jc w:val="both"/>
        <w:textAlignment w:val="auto"/>
        <w:rPr>
          <w:rStyle w:val="29"/>
          <w:rFonts w:hint="eastAsia" w:ascii="黑体" w:hAnsi="黑体" w:eastAsia="黑体" w:cs="黑体"/>
          <w:b w:val="0"/>
          <w:bCs w:val="0"/>
          <w:color w:val="333333"/>
          <w:sz w:val="32"/>
          <w:szCs w:val="32"/>
          <w:u w:val="none"/>
        </w:rPr>
      </w:pPr>
    </w:p>
    <w:p w14:paraId="7E514730">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3360" w:firstLineChars="1050"/>
        <w:jc w:val="both"/>
        <w:textAlignment w:val="auto"/>
        <w:rPr>
          <w:rStyle w:val="29"/>
          <w:rFonts w:ascii="仿宋_GB2312" w:hAnsi="微软雅黑" w:eastAsia="仿宋_GB2312"/>
          <w:color w:val="333333"/>
          <w:sz w:val="32"/>
          <w:szCs w:val="32"/>
          <w:u w:val="none"/>
        </w:rPr>
      </w:pPr>
      <w:r>
        <w:rPr>
          <w:rStyle w:val="29"/>
          <w:rFonts w:hint="eastAsia" w:ascii="黑体" w:hAnsi="黑体" w:eastAsia="黑体" w:cs="黑体"/>
          <w:b w:val="0"/>
          <w:bCs w:val="0"/>
          <w:color w:val="333333"/>
          <w:sz w:val="32"/>
          <w:szCs w:val="32"/>
          <w:u w:val="none"/>
        </w:rPr>
        <w:t xml:space="preserve">第一章 </w:t>
      </w:r>
      <w:r>
        <w:rPr>
          <w:rStyle w:val="29"/>
          <w:rFonts w:hint="eastAsia" w:ascii="黑体" w:hAnsi="黑体" w:eastAsia="黑体" w:cs="黑体"/>
          <w:b w:val="0"/>
          <w:bCs w:val="0"/>
          <w:color w:val="333333"/>
          <w:sz w:val="32"/>
          <w:szCs w:val="32"/>
          <w:u w:val="none"/>
          <w:lang w:val="en-US" w:eastAsia="zh-CN"/>
        </w:rPr>
        <w:t xml:space="preserve"> </w:t>
      </w:r>
      <w:r>
        <w:rPr>
          <w:rStyle w:val="29"/>
          <w:rFonts w:hint="eastAsia" w:ascii="黑体" w:hAnsi="黑体" w:eastAsia="黑体" w:cs="黑体"/>
          <w:b w:val="0"/>
          <w:bCs w:val="0"/>
          <w:color w:val="333333"/>
          <w:sz w:val="32"/>
          <w:szCs w:val="32"/>
          <w:u w:val="none"/>
        </w:rPr>
        <w:t>总 则</w:t>
      </w:r>
    </w:p>
    <w:p w14:paraId="26063C4D">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Times New Roman" w:hAnsi="Times New Roman" w:eastAsia="仿宋_GB2312" w:cs="Times New Roman"/>
          <w:sz w:val="32"/>
          <w:szCs w:val="32"/>
        </w:rPr>
      </w:pPr>
      <w:r>
        <w:rPr>
          <w:rFonts w:hint="eastAsia" w:ascii="黑体" w:hAnsi="黑体" w:eastAsia="黑体" w:cs="黑体"/>
          <w:b w:val="0"/>
          <w:bCs/>
          <w:sz w:val="32"/>
          <w:szCs w:val="32"/>
        </w:rPr>
        <w:t>第一条</w:t>
      </w:r>
      <w:r>
        <w:rPr>
          <w:rFonts w:hint="eastAsia" w:ascii="黑体" w:hAnsi="黑体" w:eastAsia="黑体" w:cs="黑体"/>
          <w:b w:val="0"/>
          <w:bCs/>
          <w:sz w:val="32"/>
          <w:szCs w:val="32"/>
          <w:lang w:val="en-US" w:eastAsia="zh-CN"/>
        </w:rPr>
        <w:t xml:space="preserve">  </w:t>
      </w:r>
      <w:r>
        <w:rPr>
          <w:rFonts w:hint="default" w:ascii="Times New Roman" w:hAnsi="Times New Roman" w:eastAsia="仿宋_GB2312" w:cs="Times New Roman"/>
          <w:sz w:val="32"/>
          <w:szCs w:val="32"/>
        </w:rPr>
        <w:t>为深入落实创新驱动发展战略和人才强省战略，加快</w:t>
      </w:r>
      <w:r>
        <w:rPr>
          <w:rFonts w:ascii="Times New Roman" w:hAnsi="Times New Roman" w:eastAsia="仿宋_GB2312" w:cs="Times New Roman"/>
          <w:sz w:val="32"/>
          <w:szCs w:val="32"/>
        </w:rPr>
        <w:t>培养一支高水平专业化的技术转移人才队伍，</w:t>
      </w:r>
      <w:r>
        <w:rPr>
          <w:rFonts w:hint="default" w:ascii="Times New Roman" w:hAnsi="Times New Roman" w:eastAsia="仿宋_GB2312" w:cs="Times New Roman"/>
          <w:sz w:val="32"/>
          <w:szCs w:val="32"/>
        </w:rPr>
        <w:t>促进科技成果转化，根据《关于加快科技成果转化的若干措施》（鲁政办字〔2024〕148号）等文件，结合我省实际，制订本办法。</w:t>
      </w:r>
    </w:p>
    <w:p w14:paraId="3663C035">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hint="eastAsia" w:ascii="仿宋_GB2312" w:hAnsi="仿宋" w:eastAsia="仿宋_GB2312"/>
          <w:sz w:val="32"/>
          <w:szCs w:val="32"/>
        </w:rPr>
      </w:pPr>
      <w:r>
        <w:rPr>
          <w:rFonts w:hint="eastAsia" w:ascii="黑体" w:hAnsi="黑体" w:eastAsia="黑体" w:cs="黑体"/>
          <w:b w:val="0"/>
          <w:bCs/>
          <w:sz w:val="32"/>
          <w:szCs w:val="32"/>
        </w:rPr>
        <w:t>第二条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山东省技术转移人才培养基地（以下简称“基地”）是指经省科技厅认定，依托有关法人单位（以下简称</w:t>
      </w:r>
      <w:r>
        <w:rPr>
          <w:rFonts w:hint="eastAsia" w:ascii="仿宋_GB2312" w:hAnsi="仿宋" w:eastAsia="仿宋_GB2312"/>
          <w:sz w:val="32"/>
          <w:szCs w:val="32"/>
          <w:lang w:eastAsia="zh-CN"/>
        </w:rPr>
        <w:t>“</w:t>
      </w:r>
      <w:r>
        <w:rPr>
          <w:rFonts w:hint="eastAsia" w:ascii="仿宋_GB2312" w:hAnsi="仿宋" w:eastAsia="仿宋_GB2312"/>
          <w:sz w:val="32"/>
          <w:szCs w:val="32"/>
        </w:rPr>
        <w:t>依托单位</w:t>
      </w:r>
      <w:r>
        <w:rPr>
          <w:rFonts w:hint="eastAsia" w:ascii="仿宋_GB2312" w:hAnsi="仿宋" w:eastAsia="仿宋_GB2312"/>
          <w:sz w:val="32"/>
          <w:szCs w:val="32"/>
          <w:lang w:eastAsia="zh-CN"/>
        </w:rPr>
        <w:t>”</w:t>
      </w:r>
      <w:r>
        <w:rPr>
          <w:rFonts w:hint="eastAsia" w:ascii="仿宋_GB2312" w:hAnsi="仿宋" w:eastAsia="仿宋_GB2312"/>
          <w:sz w:val="32"/>
          <w:szCs w:val="32"/>
        </w:rPr>
        <w:t>），承担技术转移</w:t>
      </w:r>
      <w:r>
        <w:rPr>
          <w:rFonts w:hint="eastAsia" w:ascii="仿宋_GB2312" w:hAnsi="仿宋" w:eastAsia="仿宋_GB2312"/>
          <w:sz w:val="32"/>
          <w:szCs w:val="32"/>
          <w:lang w:val="en-US" w:eastAsia="zh-CN"/>
        </w:rPr>
        <w:t>人员专业能力</w:t>
      </w:r>
      <w:r>
        <w:rPr>
          <w:rFonts w:hint="eastAsia" w:ascii="仿宋_GB2312" w:hAnsi="仿宋" w:eastAsia="仿宋_GB2312"/>
          <w:sz w:val="32"/>
          <w:szCs w:val="32"/>
        </w:rPr>
        <w:t>培养任务的实体机构。</w:t>
      </w:r>
    </w:p>
    <w:p w14:paraId="47A62741">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hint="default" w:ascii="仿宋_GB2312" w:hAnsi="仿宋" w:eastAsia="仿宋_GB2312"/>
          <w:sz w:val="32"/>
          <w:szCs w:val="32"/>
          <w:lang w:val="en-US"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lang w:val="en-US" w:eastAsia="zh-CN"/>
        </w:rPr>
        <w:t>基地是我省为培养专业化技术转移人才、活跃技术市场体系、促进科技成果转移转化而设立的重要平台，致力于通过系统培养、实践锻炼，培育一批懂科技、懂投资、懂市场、懂管理、懂政策的技术转移人才。</w:t>
      </w:r>
    </w:p>
    <w:p w14:paraId="263D62AF">
      <w:pPr>
        <w:pStyle w:val="37"/>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jc w:val="both"/>
        <w:textAlignment w:val="auto"/>
        <w:rPr>
          <w:rFonts w:hint="eastAsia" w:ascii="黑体" w:hAnsi="黑体" w:eastAsia="黑体"/>
          <w:bCs/>
          <w:sz w:val="32"/>
          <w:szCs w:val="32"/>
        </w:rPr>
      </w:pPr>
    </w:p>
    <w:p w14:paraId="774C9E0A">
      <w:pPr>
        <w:pStyle w:val="37"/>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jc w:val="center"/>
        <w:textAlignment w:val="auto"/>
        <w:rPr>
          <w:rFonts w:ascii="黑体" w:hAnsi="黑体" w:eastAsia="黑体"/>
        </w:rPr>
      </w:pPr>
      <w:r>
        <w:rPr>
          <w:rFonts w:hint="eastAsia" w:ascii="黑体" w:hAnsi="黑体" w:eastAsia="黑体"/>
          <w:bCs/>
          <w:sz w:val="32"/>
          <w:szCs w:val="32"/>
        </w:rPr>
        <w:t>第二章</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工作职责</w:t>
      </w:r>
    </w:p>
    <w:p w14:paraId="2AB371E8">
      <w:pPr>
        <w:pStyle w:val="38"/>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仿宋_GB2312" w:hAnsi="仿宋" w:eastAsia="仿宋_GB2312"/>
          <w:sz w:val="32"/>
          <w:szCs w:val="32"/>
        </w:rPr>
      </w:pPr>
      <w:r>
        <w:rPr>
          <w:rFonts w:hint="eastAsia" w:ascii="黑体" w:hAnsi="黑体" w:eastAsia="黑体" w:cs="黑体"/>
          <w:b w:val="0"/>
          <w:bCs/>
          <w:kern w:val="2"/>
          <w:sz w:val="32"/>
          <w:szCs w:val="32"/>
        </w:rPr>
        <w:t>第</w:t>
      </w:r>
      <w:r>
        <w:rPr>
          <w:rFonts w:hint="eastAsia" w:ascii="黑体" w:hAnsi="黑体" w:eastAsia="黑体" w:cs="黑体"/>
          <w:b w:val="0"/>
          <w:bCs/>
          <w:kern w:val="2"/>
          <w:sz w:val="32"/>
          <w:szCs w:val="32"/>
          <w:lang w:val="en-US" w:eastAsia="zh-CN"/>
        </w:rPr>
        <w:t>四</w:t>
      </w:r>
      <w:r>
        <w:rPr>
          <w:rFonts w:hint="eastAsia" w:ascii="黑体" w:hAnsi="黑体" w:eastAsia="黑体" w:cs="黑体"/>
          <w:b w:val="0"/>
          <w:bCs/>
          <w:kern w:val="2"/>
          <w:sz w:val="32"/>
          <w:szCs w:val="32"/>
        </w:rPr>
        <w:t>条</w:t>
      </w:r>
      <w:r>
        <w:rPr>
          <w:rFonts w:hint="eastAsia" w:ascii="黑体" w:hAnsi="黑体" w:eastAsia="黑体" w:cs="黑体"/>
          <w:b w:val="0"/>
          <w:bCs/>
          <w:kern w:val="2"/>
          <w:sz w:val="32"/>
          <w:szCs w:val="32"/>
          <w:lang w:val="en-US" w:eastAsia="zh-CN"/>
        </w:rPr>
        <w:t xml:space="preserve">  </w:t>
      </w:r>
      <w:r>
        <w:rPr>
          <w:rFonts w:hint="eastAsia" w:ascii="仿宋_GB2312" w:hAnsi="仿宋" w:eastAsia="仿宋_GB2312"/>
          <w:sz w:val="32"/>
          <w:szCs w:val="32"/>
        </w:rPr>
        <w:t>省科技厅负责基地的认定、管理和</w:t>
      </w:r>
      <w:r>
        <w:rPr>
          <w:rFonts w:hint="eastAsia" w:ascii="仿宋_GB2312" w:hAnsi="仿宋" w:eastAsia="仿宋_GB2312"/>
          <w:sz w:val="32"/>
          <w:szCs w:val="32"/>
          <w:lang w:val="en-US" w:eastAsia="zh-CN"/>
        </w:rPr>
        <w:t>绩效评价</w:t>
      </w:r>
      <w:r>
        <w:rPr>
          <w:rFonts w:hint="eastAsia" w:ascii="仿宋_GB2312" w:hAnsi="仿宋" w:eastAsia="仿宋_GB2312"/>
          <w:sz w:val="32"/>
          <w:szCs w:val="32"/>
        </w:rPr>
        <w:t>，组织开展基地交流、协作，加强对技术转移人才培养工作的指导。</w:t>
      </w:r>
    </w:p>
    <w:p w14:paraId="08ECDB8B">
      <w:pPr>
        <w:pStyle w:val="38"/>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仿宋_GB2312" w:hAnsi="仿宋" w:eastAsia="仿宋_GB2312"/>
          <w:sz w:val="32"/>
          <w:szCs w:val="32"/>
        </w:rPr>
      </w:pPr>
      <w:r>
        <w:rPr>
          <w:rFonts w:hint="eastAsia" w:ascii="黑体" w:hAnsi="黑体" w:eastAsia="黑体" w:cs="黑体"/>
          <w:b w:val="0"/>
          <w:bCs/>
          <w:kern w:val="2"/>
          <w:sz w:val="32"/>
          <w:szCs w:val="32"/>
        </w:rPr>
        <w:t>第</w:t>
      </w:r>
      <w:r>
        <w:rPr>
          <w:rFonts w:hint="eastAsia" w:ascii="黑体" w:hAnsi="黑体" w:eastAsia="黑体" w:cs="黑体"/>
          <w:b w:val="0"/>
          <w:bCs/>
          <w:kern w:val="2"/>
          <w:sz w:val="32"/>
          <w:szCs w:val="32"/>
          <w:lang w:val="en-US" w:eastAsia="zh-CN"/>
        </w:rPr>
        <w:t>五</w:t>
      </w:r>
      <w:r>
        <w:rPr>
          <w:rFonts w:hint="eastAsia" w:ascii="黑体" w:hAnsi="黑体" w:eastAsia="黑体" w:cs="黑体"/>
          <w:b w:val="0"/>
          <w:bCs/>
          <w:kern w:val="2"/>
          <w:sz w:val="32"/>
          <w:szCs w:val="32"/>
        </w:rPr>
        <w:t>条</w:t>
      </w:r>
      <w:r>
        <w:rPr>
          <w:rFonts w:hint="eastAsia" w:ascii="黑体" w:hAnsi="黑体" w:eastAsia="黑体" w:cs="黑体"/>
          <w:b w:val="0"/>
          <w:bCs/>
          <w:kern w:val="2"/>
          <w:sz w:val="32"/>
          <w:szCs w:val="32"/>
          <w:lang w:val="en-US" w:eastAsia="zh-CN"/>
        </w:rPr>
        <w:t xml:space="preserve">  </w:t>
      </w:r>
      <w:r>
        <w:rPr>
          <w:rFonts w:hint="eastAsia" w:ascii="仿宋_GB2312" w:hAnsi="仿宋" w:eastAsia="仿宋_GB2312"/>
          <w:sz w:val="32"/>
          <w:szCs w:val="32"/>
          <w:lang w:val="en-US" w:eastAsia="zh-CN"/>
        </w:rPr>
        <w:t>省直有关部门和</w:t>
      </w:r>
      <w:r>
        <w:rPr>
          <w:rFonts w:hint="eastAsia" w:ascii="仿宋_GB2312" w:hAnsi="仿宋" w:eastAsia="仿宋_GB2312"/>
          <w:sz w:val="32"/>
          <w:szCs w:val="32"/>
        </w:rPr>
        <w:t>各市科技局负责本系统</w:t>
      </w:r>
      <w:r>
        <w:rPr>
          <w:rFonts w:hint="eastAsia" w:ascii="仿宋_GB2312" w:hAnsi="仿宋" w:eastAsia="仿宋_GB2312"/>
          <w:sz w:val="32"/>
          <w:szCs w:val="32"/>
          <w:lang w:eastAsia="zh-CN"/>
        </w:rPr>
        <w:t>、</w:t>
      </w:r>
      <w:r>
        <w:rPr>
          <w:rFonts w:hint="eastAsia" w:ascii="仿宋_GB2312" w:hAnsi="仿宋" w:eastAsia="仿宋_GB2312"/>
          <w:sz w:val="32"/>
          <w:szCs w:val="32"/>
        </w:rPr>
        <w:t>本区域基地的</w:t>
      </w:r>
      <w:r>
        <w:rPr>
          <w:rFonts w:hint="eastAsia" w:ascii="仿宋_GB2312" w:hAnsi="仿宋" w:eastAsia="仿宋_GB2312"/>
          <w:sz w:val="32"/>
          <w:szCs w:val="32"/>
          <w:lang w:val="en-US" w:eastAsia="zh-CN"/>
        </w:rPr>
        <w:t>组织申报、业务指导和</w:t>
      </w:r>
      <w:r>
        <w:rPr>
          <w:rFonts w:hint="eastAsia" w:ascii="仿宋_GB2312" w:hAnsi="仿宋" w:eastAsia="仿宋_GB2312"/>
          <w:sz w:val="32"/>
          <w:szCs w:val="32"/>
        </w:rPr>
        <w:t>具体管理</w:t>
      </w:r>
      <w:r>
        <w:rPr>
          <w:rFonts w:hint="eastAsia" w:ascii="仿宋_GB2312" w:hAnsi="仿宋" w:eastAsia="仿宋_GB2312"/>
          <w:sz w:val="32"/>
          <w:szCs w:val="32"/>
          <w:lang w:val="en-US" w:eastAsia="zh-CN"/>
        </w:rPr>
        <w:t>工作</w:t>
      </w:r>
      <w:r>
        <w:rPr>
          <w:rFonts w:hint="eastAsia" w:ascii="仿宋_GB2312" w:hAnsi="仿宋" w:eastAsia="仿宋_GB2312"/>
          <w:sz w:val="32"/>
          <w:szCs w:val="32"/>
        </w:rPr>
        <w:t>，审核</w:t>
      </w:r>
      <w:r>
        <w:rPr>
          <w:rFonts w:hint="eastAsia" w:ascii="仿宋_GB2312" w:hAnsi="仿宋" w:eastAsia="仿宋_GB2312"/>
          <w:sz w:val="32"/>
          <w:szCs w:val="32"/>
          <w:lang w:val="en-US" w:eastAsia="zh-CN"/>
        </w:rPr>
        <w:t>上报</w:t>
      </w:r>
      <w:r>
        <w:rPr>
          <w:rFonts w:hint="eastAsia" w:ascii="仿宋_GB2312" w:hAnsi="仿宋" w:eastAsia="仿宋_GB2312"/>
          <w:sz w:val="32"/>
          <w:szCs w:val="32"/>
        </w:rPr>
        <w:t>年度</w:t>
      </w:r>
      <w:r>
        <w:rPr>
          <w:rFonts w:hint="eastAsia" w:ascii="仿宋_GB2312" w:hAnsi="仿宋" w:eastAsia="仿宋_GB2312"/>
          <w:sz w:val="32"/>
          <w:szCs w:val="32"/>
          <w:lang w:eastAsia="zh-CN"/>
        </w:rPr>
        <w:t>培养</w:t>
      </w:r>
      <w:r>
        <w:rPr>
          <w:rFonts w:hint="eastAsia" w:ascii="仿宋_GB2312" w:hAnsi="仿宋" w:eastAsia="仿宋_GB2312"/>
          <w:sz w:val="32"/>
          <w:szCs w:val="32"/>
        </w:rPr>
        <w:t>计划</w:t>
      </w:r>
      <w:r>
        <w:rPr>
          <w:rFonts w:hint="eastAsia" w:ascii="仿宋_GB2312" w:hAnsi="仿宋" w:eastAsia="仿宋_GB2312"/>
          <w:sz w:val="32"/>
          <w:szCs w:val="32"/>
          <w:lang w:eastAsia="zh-CN"/>
        </w:rPr>
        <w:t>、</w:t>
      </w:r>
      <w:r>
        <w:rPr>
          <w:rFonts w:hint="eastAsia" w:ascii="仿宋_GB2312" w:hAnsi="仿宋" w:eastAsia="仿宋_GB2312"/>
          <w:sz w:val="32"/>
          <w:szCs w:val="32"/>
        </w:rPr>
        <w:t>总结</w:t>
      </w:r>
      <w:r>
        <w:rPr>
          <w:rFonts w:hint="eastAsia" w:ascii="仿宋_GB2312" w:hAnsi="仿宋" w:eastAsia="仿宋_GB2312"/>
          <w:sz w:val="32"/>
          <w:szCs w:val="32"/>
          <w:lang w:val="en-US" w:eastAsia="zh-CN"/>
        </w:rPr>
        <w:t>报告和绩效评价资料</w:t>
      </w:r>
      <w:r>
        <w:rPr>
          <w:rFonts w:hint="eastAsia" w:ascii="仿宋_GB2312" w:hAnsi="仿宋" w:eastAsia="仿宋_GB2312"/>
          <w:sz w:val="32"/>
          <w:szCs w:val="32"/>
        </w:rPr>
        <w:t>。</w:t>
      </w:r>
    </w:p>
    <w:p w14:paraId="05D167BA">
      <w:pPr>
        <w:pStyle w:val="38"/>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Style w:val="29"/>
          <w:rFonts w:ascii="仿宋_GB2312" w:hAnsi="仿宋" w:eastAsia="宋体" w:cs="宋体"/>
          <w:b w:val="0"/>
          <w:bCs w:val="0"/>
          <w:sz w:val="32"/>
          <w:szCs w:val="32"/>
        </w:rPr>
      </w:pPr>
      <w:r>
        <w:rPr>
          <w:rFonts w:hint="eastAsia" w:ascii="黑体" w:hAnsi="黑体" w:eastAsia="黑体" w:cs="黑体"/>
          <w:b w:val="0"/>
          <w:bCs/>
          <w:kern w:val="2"/>
          <w:sz w:val="32"/>
          <w:szCs w:val="32"/>
        </w:rPr>
        <w:t>第</w:t>
      </w:r>
      <w:r>
        <w:rPr>
          <w:rFonts w:hint="eastAsia" w:ascii="黑体" w:hAnsi="黑体" w:eastAsia="黑体" w:cs="黑体"/>
          <w:b w:val="0"/>
          <w:bCs/>
          <w:kern w:val="2"/>
          <w:sz w:val="32"/>
          <w:szCs w:val="32"/>
          <w:lang w:val="en-US" w:eastAsia="zh-CN"/>
        </w:rPr>
        <w:t>六</w:t>
      </w:r>
      <w:r>
        <w:rPr>
          <w:rFonts w:hint="eastAsia" w:ascii="黑体" w:hAnsi="黑体" w:eastAsia="黑体" w:cs="黑体"/>
          <w:b w:val="0"/>
          <w:bCs/>
          <w:kern w:val="2"/>
          <w:sz w:val="32"/>
          <w:szCs w:val="32"/>
        </w:rPr>
        <w:t>条</w:t>
      </w:r>
      <w:r>
        <w:rPr>
          <w:rFonts w:hint="eastAsia" w:ascii="黑体" w:hAnsi="黑体" w:eastAsia="黑体" w:cs="黑体"/>
          <w:b w:val="0"/>
          <w:bCs/>
          <w:kern w:val="2"/>
          <w:sz w:val="32"/>
          <w:szCs w:val="32"/>
          <w:lang w:val="en-US" w:eastAsia="zh-CN"/>
        </w:rPr>
        <w:t xml:space="preserve">  </w:t>
      </w:r>
      <w:r>
        <w:rPr>
          <w:rFonts w:hint="eastAsia" w:ascii="仿宋_GB2312" w:hAnsi="仿宋" w:eastAsia="仿宋_GB2312"/>
          <w:sz w:val="32"/>
          <w:szCs w:val="32"/>
        </w:rPr>
        <w:t>依托单位</w:t>
      </w:r>
      <w:r>
        <w:rPr>
          <w:rFonts w:hint="eastAsia" w:ascii="仿宋_GB2312" w:hAnsi="仿宋" w:eastAsia="仿宋_GB2312"/>
          <w:sz w:val="32"/>
          <w:szCs w:val="32"/>
          <w:lang w:val="en-US" w:eastAsia="zh-CN"/>
        </w:rPr>
        <w:t>是</w:t>
      </w:r>
      <w:r>
        <w:rPr>
          <w:rFonts w:hint="eastAsia" w:ascii="仿宋_GB2312" w:hAnsi="仿宋_GB2312" w:eastAsia="仿宋_GB2312" w:cs="仿宋_GB2312"/>
          <w:i w:val="0"/>
          <w:iCs w:val="0"/>
          <w:caps w:val="0"/>
          <w:color w:val="333333"/>
          <w:spacing w:val="0"/>
          <w:sz w:val="32"/>
          <w:szCs w:val="32"/>
          <w:shd w:val="clear" w:color="auto" w:fill="FFFFFF"/>
        </w:rPr>
        <w:t>基地</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建设</w:t>
      </w:r>
      <w:r>
        <w:rPr>
          <w:rFonts w:hint="eastAsia" w:ascii="仿宋_GB2312" w:hAnsi="仿宋_GB2312" w:eastAsia="仿宋_GB2312" w:cs="仿宋_GB2312"/>
          <w:i w:val="0"/>
          <w:iCs w:val="0"/>
          <w:caps w:val="0"/>
          <w:color w:val="333333"/>
          <w:spacing w:val="0"/>
          <w:sz w:val="32"/>
          <w:szCs w:val="32"/>
          <w:shd w:val="clear" w:color="auto" w:fill="FFFFFF"/>
        </w:rPr>
        <w:t>的直接责任主体，在</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各级科技行政管理部门</w:t>
      </w:r>
      <w:r>
        <w:rPr>
          <w:rFonts w:hint="eastAsia" w:ascii="仿宋_GB2312" w:hAnsi="仿宋_GB2312" w:eastAsia="仿宋_GB2312" w:cs="仿宋_GB2312"/>
          <w:i w:val="0"/>
          <w:iCs w:val="0"/>
          <w:caps w:val="0"/>
          <w:color w:val="333333"/>
          <w:spacing w:val="0"/>
          <w:sz w:val="32"/>
          <w:szCs w:val="32"/>
          <w:shd w:val="clear" w:color="auto" w:fill="FFFFFF"/>
        </w:rPr>
        <w:t>指导下，建立健全基地管理机构，</w:t>
      </w:r>
      <w:r>
        <w:rPr>
          <w:rFonts w:hint="eastAsia" w:ascii="仿宋_GB2312" w:hAnsi="仿宋" w:eastAsia="仿宋_GB2312"/>
          <w:sz w:val="32"/>
          <w:szCs w:val="32"/>
        </w:rPr>
        <w:t>完善管理制度体系，创新工作机制，不断提高基地建设水平</w:t>
      </w:r>
      <w:r>
        <w:rPr>
          <w:rFonts w:hint="eastAsia" w:ascii="仿宋_GB2312" w:hAnsi="仿宋" w:eastAsia="仿宋_GB2312"/>
          <w:sz w:val="32"/>
          <w:szCs w:val="32"/>
          <w:lang w:val="en-US" w:eastAsia="zh-CN"/>
        </w:rPr>
        <w:t>和</w:t>
      </w:r>
      <w:r>
        <w:rPr>
          <w:rFonts w:hint="eastAsia" w:ascii="仿宋_GB2312" w:hAnsi="仿宋" w:eastAsia="仿宋_GB2312"/>
          <w:sz w:val="32"/>
          <w:szCs w:val="32"/>
        </w:rPr>
        <w:t>人才培养成效。</w:t>
      </w:r>
    </w:p>
    <w:p w14:paraId="43A283BB">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jc w:val="both"/>
        <w:textAlignment w:val="auto"/>
        <w:rPr>
          <w:rStyle w:val="29"/>
          <w:rFonts w:hint="eastAsia" w:ascii="黑体" w:hAnsi="黑体" w:eastAsia="黑体" w:cs="黑体"/>
          <w:b w:val="0"/>
          <w:bCs w:val="0"/>
          <w:color w:val="333333"/>
          <w:sz w:val="32"/>
          <w:szCs w:val="32"/>
        </w:rPr>
      </w:pPr>
    </w:p>
    <w:p w14:paraId="0C34143C">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jc w:val="center"/>
        <w:textAlignment w:val="auto"/>
        <w:rPr>
          <w:rStyle w:val="29"/>
          <w:rFonts w:ascii="仿宋_GB2312" w:hAnsi="微软雅黑" w:eastAsia="仿宋_GB2312"/>
          <w:color w:val="333333"/>
          <w:sz w:val="32"/>
          <w:szCs w:val="32"/>
          <w:u w:val="none"/>
        </w:rPr>
      </w:pPr>
      <w:r>
        <w:rPr>
          <w:rStyle w:val="29"/>
          <w:rFonts w:hint="eastAsia" w:ascii="黑体" w:hAnsi="黑体" w:eastAsia="黑体" w:cs="黑体"/>
          <w:b w:val="0"/>
          <w:bCs w:val="0"/>
          <w:color w:val="333333"/>
          <w:sz w:val="32"/>
          <w:szCs w:val="32"/>
          <w:u w:val="none"/>
        </w:rPr>
        <w:t xml:space="preserve">第三章 </w:t>
      </w:r>
      <w:r>
        <w:rPr>
          <w:rStyle w:val="29"/>
          <w:rFonts w:hint="eastAsia" w:ascii="黑体" w:hAnsi="黑体" w:eastAsia="黑体" w:cs="黑体"/>
          <w:b w:val="0"/>
          <w:bCs w:val="0"/>
          <w:color w:val="333333"/>
          <w:sz w:val="32"/>
          <w:szCs w:val="32"/>
          <w:u w:val="none"/>
          <w:lang w:val="en-US" w:eastAsia="zh-CN"/>
        </w:rPr>
        <w:t xml:space="preserve"> </w:t>
      </w:r>
      <w:r>
        <w:rPr>
          <w:rStyle w:val="29"/>
          <w:rFonts w:hint="eastAsia" w:ascii="黑体" w:hAnsi="黑体" w:eastAsia="黑体" w:cs="黑体"/>
          <w:b w:val="0"/>
          <w:bCs w:val="0"/>
          <w:color w:val="333333"/>
          <w:sz w:val="32"/>
          <w:szCs w:val="32"/>
          <w:u w:val="none"/>
        </w:rPr>
        <w:t>认定条件与程序</w:t>
      </w:r>
    </w:p>
    <w:p w14:paraId="7A36541B">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仿宋_GB2312" w:hAnsi="仿宋"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lang w:val="en-US" w:eastAsia="zh-CN"/>
        </w:rPr>
        <w:t>基地应符合以下条件：</w:t>
      </w:r>
    </w:p>
    <w:p w14:paraId="25F1BF08">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w:t>
      </w:r>
      <w:r>
        <w:rPr>
          <w:rFonts w:hint="eastAsia" w:ascii="仿宋_GB2312" w:hAnsi="仿宋" w:eastAsia="仿宋_GB2312" w:cstheme="minorBidi"/>
          <w:i w:val="0"/>
          <w:iCs w:val="0"/>
          <w:caps w:val="0"/>
          <w:spacing w:val="0"/>
          <w:sz w:val="32"/>
          <w:szCs w:val="32"/>
          <w:shd w:val="clear"/>
        </w:rPr>
        <w:t>在山东省境内注册的法人单位</w:t>
      </w:r>
      <w:r>
        <w:rPr>
          <w:rFonts w:hint="eastAsia" w:ascii="仿宋_GB2312" w:hAnsi="仿宋" w:eastAsia="仿宋_GB2312" w:cstheme="minorBidi"/>
          <w:i w:val="0"/>
          <w:iCs w:val="0"/>
          <w:caps w:val="0"/>
          <w:spacing w:val="0"/>
          <w:sz w:val="32"/>
          <w:szCs w:val="32"/>
          <w:shd w:val="clear"/>
          <w:lang w:eastAsia="zh-CN"/>
        </w:rPr>
        <w:t>；</w:t>
      </w:r>
    </w:p>
    <w:p w14:paraId="0B2874C0">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二</w:t>
      </w:r>
      <w:r>
        <w:rPr>
          <w:rFonts w:hint="eastAsia" w:ascii="仿宋_GB2312" w:hAnsi="仿宋" w:eastAsia="仿宋_GB2312"/>
          <w:sz w:val="32"/>
          <w:szCs w:val="32"/>
        </w:rPr>
        <w:t>）具</w:t>
      </w:r>
      <w:r>
        <w:rPr>
          <w:rFonts w:hint="eastAsia" w:ascii="仿宋_GB2312" w:hAnsi="仿宋" w:eastAsia="仿宋_GB2312"/>
          <w:sz w:val="32"/>
          <w:szCs w:val="32"/>
          <w:lang w:val="en-US" w:eastAsia="zh-CN"/>
        </w:rPr>
        <w:t>有满足科技成果转化需求的相对稳定的高素质专兼职师资队伍，尤其是拥有一批长期活跃在科技成果转化一线、具有丰富实践经验的科技成果转化项目导师</w:t>
      </w:r>
      <w:r>
        <w:rPr>
          <w:rFonts w:hint="eastAsia" w:ascii="仿宋_GB2312" w:hAnsi="仿宋" w:eastAsia="仿宋_GB2312"/>
          <w:sz w:val="32"/>
          <w:szCs w:val="32"/>
          <w:lang w:eastAsia="zh-CN"/>
        </w:rPr>
        <w:t>；</w:t>
      </w:r>
    </w:p>
    <w:p w14:paraId="610DE91B">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w:t>
      </w:r>
      <w:r>
        <w:rPr>
          <w:rFonts w:hint="eastAsia" w:ascii="仿宋_GB2312" w:hAnsi="仿宋" w:eastAsia="仿宋_GB2312"/>
          <w:sz w:val="32"/>
          <w:szCs w:val="32"/>
          <w:lang w:val="en-US" w:eastAsia="zh-CN"/>
        </w:rPr>
        <w:t>具有良好的科技成果转移转化实战项目参与条件</w:t>
      </w:r>
      <w:r>
        <w:rPr>
          <w:rFonts w:hint="eastAsia" w:ascii="仿宋_GB2312" w:hAnsi="仿宋" w:eastAsia="仿宋_GB2312"/>
          <w:sz w:val="32"/>
          <w:szCs w:val="32"/>
          <w:lang w:eastAsia="zh-CN"/>
        </w:rPr>
        <w:t>；</w:t>
      </w:r>
    </w:p>
    <w:p w14:paraId="36665CFE">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rPr>
        <w:t>）</w:t>
      </w:r>
      <w:r>
        <w:rPr>
          <w:rFonts w:hint="eastAsia" w:ascii="仿宋_GB2312" w:hAnsi="仿宋" w:eastAsia="仿宋_GB2312"/>
          <w:sz w:val="32"/>
          <w:szCs w:val="32"/>
          <w:lang w:val="en-US" w:eastAsia="zh-CN"/>
        </w:rPr>
        <w:t>具有健全的教学组织管理、学员考核管理、培养登记管理、培养效果评估、后勤保障及财务管理等基本管理制度</w:t>
      </w:r>
      <w:r>
        <w:rPr>
          <w:rFonts w:hint="eastAsia" w:ascii="仿宋_GB2312" w:hAnsi="仿宋" w:eastAsia="仿宋_GB2312"/>
          <w:sz w:val="32"/>
          <w:szCs w:val="32"/>
          <w:lang w:eastAsia="zh-CN"/>
        </w:rPr>
        <w:t>；</w:t>
      </w:r>
    </w:p>
    <w:p w14:paraId="65C91C86">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rPr>
        <w:t>具备良好的场所、设备及教材等教学条件</w:t>
      </w:r>
      <w:r>
        <w:rPr>
          <w:rFonts w:hint="eastAsia" w:ascii="仿宋_GB2312" w:hAnsi="仿宋" w:eastAsia="仿宋_GB2312"/>
          <w:sz w:val="32"/>
          <w:szCs w:val="32"/>
          <w:lang w:eastAsia="zh-CN"/>
        </w:rPr>
        <w:t>；</w:t>
      </w:r>
    </w:p>
    <w:p w14:paraId="093A502D">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六</w:t>
      </w:r>
      <w:r>
        <w:rPr>
          <w:rFonts w:hint="eastAsia" w:ascii="仿宋_GB2312" w:hAnsi="仿宋" w:eastAsia="仿宋_GB2312"/>
          <w:sz w:val="32"/>
          <w:szCs w:val="32"/>
        </w:rPr>
        <w:t>）符合科研诚信要求。</w:t>
      </w:r>
    </w:p>
    <w:p w14:paraId="6FA5FE74">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仿宋_GB2312" w:hAnsi="微软雅黑" w:eastAsia="仿宋_GB2312"/>
          <w:color w:val="333333"/>
          <w:sz w:val="32"/>
          <w:szCs w:val="32"/>
        </w:rPr>
      </w:pPr>
      <w:r>
        <w:rPr>
          <w:rFonts w:hint="eastAsia" w:ascii="黑体" w:hAnsi="黑体" w:eastAsia="黑体" w:cs="黑体"/>
          <w:b w:val="0"/>
          <w:bCs/>
          <w:sz w:val="32"/>
          <w:szCs w:val="32"/>
          <w:lang w:val="en-US" w:eastAsia="zh-CN"/>
        </w:rPr>
        <w:t>第八</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基地认定程序：</w:t>
      </w:r>
    </w:p>
    <w:p w14:paraId="5447ADE5">
      <w:pPr>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（一）组织申报。</w:t>
      </w:r>
      <w:r>
        <w:rPr>
          <w:rFonts w:hint="default" w:ascii="Times New Roman" w:hAnsi="Times New Roman" w:eastAsia="仿宋_GB2312" w:cs="Times New Roman"/>
          <w:sz w:val="32"/>
          <w:szCs w:val="32"/>
        </w:rPr>
        <w:t>符合条件的</w:t>
      </w:r>
      <w:r>
        <w:rPr>
          <w:rFonts w:hint="eastAsia" w:ascii="Times New Roman" w:hAnsi="Times New Roman" w:eastAsia="仿宋_GB2312" w:cs="Times New Roman"/>
          <w:sz w:val="32"/>
          <w:szCs w:val="32"/>
          <w:lang w:val="en-US" w:eastAsia="zh-CN"/>
        </w:rPr>
        <w:t>依托单位</w:t>
      </w:r>
      <w:r>
        <w:rPr>
          <w:rFonts w:hint="default" w:ascii="Times New Roman" w:hAnsi="Times New Roman" w:eastAsia="仿宋_GB2312" w:cs="Times New Roman"/>
          <w:sz w:val="32"/>
          <w:szCs w:val="32"/>
        </w:rPr>
        <w:t>，按照申报要求，编写基地认定申报材料，省直有关部门和各市科技局对申报材料的真实性、完整性、规范性等进行初审核实，并进行推荐。</w:t>
      </w:r>
    </w:p>
    <w:p w14:paraId="03A7893C">
      <w:pPr>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（二）专家评审。</w:t>
      </w:r>
      <w:r>
        <w:rPr>
          <w:rFonts w:hint="default" w:ascii="Times New Roman" w:hAnsi="Times New Roman" w:eastAsia="仿宋_GB2312" w:cs="Times New Roman"/>
          <w:sz w:val="32"/>
          <w:szCs w:val="32"/>
        </w:rPr>
        <w:t xml:space="preserve">省科技厅对申报材料进行形式审查，组织有关专家进行评审和现场核查，择优提出拟认定基地名单。 </w:t>
      </w:r>
    </w:p>
    <w:p w14:paraId="0DE55F6B">
      <w:pPr>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（三）公示批复。</w:t>
      </w:r>
      <w:r>
        <w:rPr>
          <w:rFonts w:hint="default" w:ascii="Times New Roman" w:hAnsi="Times New Roman" w:eastAsia="仿宋_GB2312" w:cs="Times New Roman"/>
          <w:sz w:val="32"/>
          <w:szCs w:val="32"/>
        </w:rPr>
        <w:t>省科技厅对拟认定基地名单公示5个工作日，公示期满且无异议的由省科技厅发文批复。</w:t>
      </w:r>
    </w:p>
    <w:p w14:paraId="44435D5C">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基地经认定后，统一名称为“山东省技术转移人才培养基地”。</w:t>
      </w:r>
    </w:p>
    <w:p w14:paraId="5BB8B512">
      <w:pPr>
        <w:pStyle w:val="23"/>
        <w:keepNext w:val="0"/>
        <w:keepLines w:val="0"/>
        <w:pageBreakBefore w:val="0"/>
        <w:numPr>
          <w:ilvl w:val="-1"/>
          <w:numId w:val="0"/>
        </w:numPr>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Style w:val="29"/>
          <w:rFonts w:hint="eastAsia" w:ascii="黑体" w:hAnsi="黑体" w:eastAsia="黑体" w:cs="黑体"/>
          <w:b w:val="0"/>
          <w:bCs w:val="0"/>
          <w:color w:val="333333"/>
          <w:sz w:val="32"/>
          <w:szCs w:val="32"/>
          <w:lang w:val="en-US"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国家技术转移人才培养基地享受省技术转移人才培养基地相关政策和服务。</w:t>
      </w:r>
    </w:p>
    <w:p w14:paraId="28D9E034">
      <w:pPr>
        <w:pStyle w:val="23"/>
        <w:keepNext w:val="0"/>
        <w:keepLines w:val="0"/>
        <w:pageBreakBefore w:val="0"/>
        <w:numPr>
          <w:ilvl w:val="-1"/>
          <w:numId w:val="0"/>
        </w:numPr>
        <w:shd w:val="clear" w:color="auto" w:fill="FFFFFF"/>
        <w:kinsoku/>
        <w:wordWrap/>
        <w:overflowPunct/>
        <w:topLinePunct w:val="0"/>
        <w:autoSpaceDE/>
        <w:autoSpaceDN/>
        <w:bidi w:val="0"/>
        <w:adjustRightInd/>
        <w:snapToGrid w:val="0"/>
        <w:spacing w:before="0" w:beforeAutospacing="0" w:after="0" w:afterLines="0" w:afterAutospacing="0" w:line="580" w:lineRule="exact"/>
        <w:jc w:val="both"/>
        <w:textAlignment w:val="auto"/>
        <w:rPr>
          <w:rStyle w:val="29"/>
          <w:rFonts w:hint="eastAsia" w:ascii="黑体" w:hAnsi="黑体" w:eastAsia="黑体" w:cs="黑体"/>
          <w:b w:val="0"/>
          <w:bCs w:val="0"/>
          <w:color w:val="333333"/>
          <w:sz w:val="32"/>
          <w:szCs w:val="32"/>
          <w:lang w:val="en-US" w:eastAsia="zh-CN"/>
        </w:rPr>
      </w:pPr>
    </w:p>
    <w:p w14:paraId="46D5927C">
      <w:pPr>
        <w:pStyle w:val="23"/>
        <w:keepNext w:val="0"/>
        <w:keepLines w:val="0"/>
        <w:pageBreakBefore w:val="0"/>
        <w:numPr>
          <w:ilvl w:val="-1"/>
          <w:numId w:val="0"/>
        </w:numPr>
        <w:shd w:val="clear" w:color="auto" w:fill="FFFFFF"/>
        <w:kinsoku/>
        <w:wordWrap/>
        <w:overflowPunct/>
        <w:topLinePunct w:val="0"/>
        <w:autoSpaceDE/>
        <w:autoSpaceDN/>
        <w:bidi w:val="0"/>
        <w:adjustRightInd/>
        <w:snapToGrid w:val="0"/>
        <w:spacing w:before="0" w:beforeAutospacing="0" w:after="0" w:afterLines="0" w:afterAutospacing="0" w:line="580" w:lineRule="exact"/>
        <w:jc w:val="center"/>
        <w:textAlignment w:val="auto"/>
        <w:rPr>
          <w:rStyle w:val="29"/>
          <w:rFonts w:hint="eastAsia" w:ascii="黑体" w:hAnsi="黑体" w:eastAsia="黑体" w:cs="黑体"/>
          <w:b w:val="0"/>
          <w:bCs w:val="0"/>
          <w:color w:val="333333"/>
          <w:sz w:val="32"/>
          <w:szCs w:val="32"/>
          <w:u w:val="none"/>
          <w:lang w:val="en-US" w:eastAsia="zh-CN"/>
        </w:rPr>
      </w:pPr>
      <w:r>
        <w:rPr>
          <w:rStyle w:val="29"/>
          <w:rFonts w:hint="eastAsia" w:ascii="黑体" w:hAnsi="黑体" w:eastAsia="黑体" w:cs="黑体"/>
          <w:b w:val="0"/>
          <w:bCs w:val="0"/>
          <w:color w:val="333333"/>
          <w:sz w:val="32"/>
          <w:szCs w:val="32"/>
          <w:u w:val="none"/>
          <w:lang w:val="en-US" w:eastAsia="zh-CN"/>
        </w:rPr>
        <w:t>第四章 运行机制</w:t>
      </w:r>
    </w:p>
    <w:p w14:paraId="46F2EA8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640" w:firstLineChars="200"/>
        <w:jc w:val="both"/>
        <w:textAlignment w:val="auto"/>
        <w:rPr>
          <w:rFonts w:hint="eastAsia" w:ascii="仿宋_GB2312" w:hAnsi="仿宋" w:eastAsia="仿宋_GB2312" w:cs="宋体"/>
          <w:i w:val="0"/>
          <w:iCs w:val="0"/>
          <w:caps w:val="0"/>
          <w:color w:val="auto"/>
          <w:spacing w:val="0"/>
          <w:kern w:val="0"/>
          <w:sz w:val="32"/>
          <w:szCs w:val="32"/>
          <w:shd w:val="clear" w:color="auto" w:fill="auto"/>
          <w:lang w:val="en-US" w:eastAsia="zh-CN"/>
        </w:rPr>
      </w:pPr>
      <w:r>
        <w:rPr>
          <w:rFonts w:hint="eastAsia" w:ascii="黑体" w:hAnsi="黑体" w:eastAsia="黑体" w:cs="黑体"/>
          <w:b w:val="0"/>
          <w:bCs/>
          <w:i w:val="0"/>
          <w:iCs w:val="0"/>
          <w:caps w:val="0"/>
          <w:spacing w:val="0"/>
          <w:kern w:val="2"/>
          <w:sz w:val="32"/>
          <w:szCs w:val="32"/>
          <w:shd w:val="clear"/>
        </w:rPr>
        <w:t>第</w:t>
      </w:r>
      <w:r>
        <w:rPr>
          <w:rFonts w:hint="eastAsia" w:ascii="黑体" w:hAnsi="黑体" w:eastAsia="黑体" w:cs="黑体"/>
          <w:b w:val="0"/>
          <w:bCs/>
          <w:i w:val="0"/>
          <w:iCs w:val="0"/>
          <w:caps w:val="0"/>
          <w:spacing w:val="0"/>
          <w:kern w:val="2"/>
          <w:sz w:val="32"/>
          <w:szCs w:val="32"/>
          <w:shd w:val="clear"/>
          <w:lang w:val="en-US" w:eastAsia="zh-CN"/>
        </w:rPr>
        <w:t>十</w:t>
      </w:r>
      <w:r>
        <w:rPr>
          <w:rFonts w:hint="eastAsia" w:ascii="黑体" w:hAnsi="黑体" w:eastAsia="黑体" w:cs="黑体"/>
          <w:b w:val="0"/>
          <w:bCs/>
          <w:i w:val="0"/>
          <w:iCs w:val="0"/>
          <w:caps w:val="0"/>
          <w:spacing w:val="0"/>
          <w:kern w:val="2"/>
          <w:sz w:val="32"/>
          <w:szCs w:val="32"/>
          <w:shd w:val="clear"/>
        </w:rPr>
        <w:t>条</w:t>
      </w:r>
      <w:r>
        <w:rPr>
          <w:rFonts w:hint="eastAsia" w:ascii="黑体" w:hAnsi="黑体" w:eastAsia="黑体" w:cs="黑体"/>
          <w:b w:val="0"/>
          <w:bCs/>
          <w:i w:val="0"/>
          <w:iCs w:val="0"/>
          <w:caps w:val="0"/>
          <w:spacing w:val="0"/>
          <w:kern w:val="2"/>
          <w:sz w:val="32"/>
          <w:szCs w:val="32"/>
          <w:shd w:val="clear"/>
          <w:lang w:val="en-US" w:eastAsia="zh-CN"/>
        </w:rPr>
        <w:t xml:space="preserve">  </w:t>
      </w:r>
      <w:r>
        <w:rPr>
          <w:rFonts w:hint="eastAsia" w:ascii="仿宋_GB2312" w:hAnsi="仿宋" w:eastAsia="仿宋_GB2312" w:cs="宋体"/>
          <w:i w:val="0"/>
          <w:iCs w:val="0"/>
          <w:caps w:val="0"/>
          <w:color w:val="auto"/>
          <w:spacing w:val="0"/>
          <w:kern w:val="0"/>
          <w:sz w:val="32"/>
          <w:szCs w:val="32"/>
          <w:shd w:val="clear" w:color="auto" w:fill="auto"/>
        </w:rPr>
        <w:t>基地</w:t>
      </w:r>
      <w:r>
        <w:rPr>
          <w:rFonts w:hint="eastAsia" w:ascii="仿宋_GB2312" w:hAnsi="仿宋" w:eastAsia="仿宋_GB2312" w:cs="宋体"/>
          <w:i w:val="0"/>
          <w:iCs w:val="0"/>
          <w:caps w:val="0"/>
          <w:color w:val="auto"/>
          <w:spacing w:val="0"/>
          <w:kern w:val="0"/>
          <w:sz w:val="32"/>
          <w:szCs w:val="32"/>
          <w:shd w:val="clear" w:color="auto" w:fill="auto"/>
          <w:lang w:val="en-US" w:eastAsia="zh-CN"/>
        </w:rPr>
        <w:t>应面向广大社会需求，建立市场化培养机制，开展法律法规、项目挖掘、概念验证、中试孵化、科技金融、产业化落地等覆盖科技成果转化全链条的专业化培养。</w:t>
      </w:r>
    </w:p>
    <w:p w14:paraId="472CD7CA">
      <w:pPr>
        <w:pStyle w:val="2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Lines="0" w:afterAutospacing="0" w:line="580" w:lineRule="exact"/>
        <w:ind w:left="0" w:right="0" w:firstLine="640" w:firstLineChars="200"/>
        <w:jc w:val="both"/>
        <w:textAlignment w:val="auto"/>
        <w:rPr>
          <w:rFonts w:hint="eastAsia" w:ascii="仿宋_GB2312" w:hAnsi="仿宋" w:eastAsia="仿宋_GB2312" w:cs="宋体"/>
          <w:color w:val="auto"/>
          <w:kern w:val="0"/>
          <w:sz w:val="32"/>
          <w:szCs w:val="32"/>
          <w:lang w:val="en-US" w:eastAsia="zh-CN"/>
        </w:rPr>
      </w:pPr>
      <w:r>
        <w:rPr>
          <w:rFonts w:hint="eastAsia" w:ascii="黑体" w:hAnsi="黑体" w:eastAsia="黑体" w:cs="黑体"/>
          <w:b w:val="0"/>
          <w:bCs/>
          <w:kern w:val="2"/>
          <w:sz w:val="32"/>
          <w:szCs w:val="32"/>
          <w:lang w:val="en-US" w:eastAsia="zh-CN"/>
        </w:rPr>
        <w:t xml:space="preserve">第十一条  </w:t>
      </w:r>
      <w:r>
        <w:rPr>
          <w:rFonts w:hint="eastAsia" w:ascii="仿宋_GB2312" w:hAnsi="仿宋" w:eastAsia="仿宋_GB2312" w:cs="宋体"/>
          <w:kern w:val="0"/>
          <w:sz w:val="32"/>
          <w:szCs w:val="32"/>
          <w:lang w:val="en-US" w:eastAsia="zh-CN"/>
        </w:rPr>
        <w:t>基地应</w:t>
      </w:r>
      <w:r>
        <w:rPr>
          <w:rFonts w:hint="eastAsia" w:ascii="仿宋_GB2312" w:hAnsi="仿宋" w:eastAsia="仿宋_GB2312" w:cs="宋体"/>
          <w:color w:val="auto"/>
          <w:kern w:val="0"/>
          <w:sz w:val="32"/>
          <w:szCs w:val="32"/>
        </w:rPr>
        <w:t>坚持“应用导向、实战导向”，按照</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短期速训—中长期进阶—一线实战</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的阶梯培养模式</w:t>
      </w:r>
      <w:r>
        <w:rPr>
          <w:rFonts w:hint="eastAsia" w:ascii="仿宋_GB2312" w:hAnsi="仿宋" w:eastAsia="仿宋_GB2312" w:cs="宋体"/>
          <w:color w:val="auto"/>
          <w:kern w:val="0"/>
          <w:sz w:val="32"/>
          <w:szCs w:val="32"/>
          <w:lang w:val="en-US" w:eastAsia="zh-CN"/>
        </w:rPr>
        <w:t>进行培养。</w:t>
      </w:r>
    </w:p>
    <w:p w14:paraId="4F168072">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仿宋_GB2312" w:hAnsi="仿宋" w:eastAsia="仿宋_GB2312"/>
          <w:sz w:val="32"/>
          <w:szCs w:val="32"/>
        </w:rPr>
      </w:pPr>
      <w:r>
        <w:rPr>
          <w:rFonts w:hint="eastAsia" w:ascii="黑体" w:hAnsi="黑体" w:eastAsia="黑体" w:cs="黑体"/>
          <w:b w:val="0"/>
          <w:bCs/>
          <w:kern w:val="2"/>
          <w:sz w:val="32"/>
          <w:szCs w:val="32"/>
          <w:lang w:val="en-US" w:eastAsia="zh-CN"/>
        </w:rPr>
        <w:t xml:space="preserve">第十二条  </w:t>
      </w:r>
      <w:r>
        <w:rPr>
          <w:rFonts w:hint="eastAsia" w:ascii="仿宋_GB2312" w:hAnsi="仿宋" w:eastAsia="仿宋_GB2312"/>
          <w:sz w:val="32"/>
          <w:szCs w:val="32"/>
        </w:rPr>
        <w:t>基地按照省科技厅统一规划，紧密围绕科技成果转化需求</w:t>
      </w:r>
      <w:r>
        <w:rPr>
          <w:rFonts w:hint="eastAsia" w:ascii="仿宋_GB2312" w:hAnsi="仿宋" w:eastAsia="仿宋_GB2312"/>
          <w:sz w:val="32"/>
          <w:szCs w:val="32"/>
          <w:lang w:eastAsia="zh-CN"/>
        </w:rPr>
        <w:t>，</w:t>
      </w:r>
      <w:r>
        <w:rPr>
          <w:rFonts w:hint="eastAsia" w:ascii="仿宋_GB2312" w:hAnsi="仿宋" w:eastAsia="仿宋_GB2312"/>
          <w:sz w:val="32"/>
          <w:szCs w:val="32"/>
        </w:rPr>
        <w:t>有针对性</w:t>
      </w:r>
      <w:r>
        <w:rPr>
          <w:rFonts w:hint="eastAsia" w:ascii="仿宋_GB2312" w:hAnsi="仿宋" w:eastAsia="仿宋_GB2312"/>
          <w:sz w:val="32"/>
          <w:szCs w:val="32"/>
          <w:lang w:val="en-US" w:eastAsia="zh-CN"/>
        </w:rPr>
        <w:t>地</w:t>
      </w:r>
      <w:r>
        <w:rPr>
          <w:rFonts w:hint="eastAsia" w:ascii="仿宋_GB2312" w:hAnsi="仿宋" w:eastAsia="仿宋_GB2312"/>
          <w:sz w:val="32"/>
          <w:szCs w:val="32"/>
        </w:rPr>
        <w:t>开发一批高质量</w:t>
      </w:r>
      <w:r>
        <w:rPr>
          <w:rFonts w:hint="eastAsia" w:ascii="仿宋_GB2312" w:hAnsi="仿宋" w:eastAsia="仿宋_GB2312"/>
          <w:sz w:val="32"/>
          <w:szCs w:val="32"/>
          <w:lang w:eastAsia="zh-CN"/>
        </w:rPr>
        <w:t>培养</w:t>
      </w:r>
      <w:r>
        <w:rPr>
          <w:rFonts w:hint="eastAsia" w:ascii="仿宋_GB2312" w:hAnsi="仿宋" w:eastAsia="仿宋_GB2312"/>
          <w:sz w:val="32"/>
          <w:szCs w:val="32"/>
        </w:rPr>
        <w:t>教材、课程和项目。</w:t>
      </w:r>
    </w:p>
    <w:p w14:paraId="0CBBC4A0">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hint="eastAsia" w:ascii="仿宋_GB2312" w:hAnsi="仿宋" w:eastAsia="仿宋_GB2312"/>
          <w:sz w:val="32"/>
          <w:szCs w:val="32"/>
        </w:rPr>
      </w:pPr>
      <w:r>
        <w:rPr>
          <w:rFonts w:hint="eastAsia" w:ascii="黑体" w:hAnsi="黑体" w:eastAsia="黑体" w:cs="黑体"/>
          <w:b w:val="0"/>
          <w:bCs/>
          <w:sz w:val="32"/>
          <w:szCs w:val="32"/>
        </w:rPr>
        <w:t>第十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基地应紧扣创新发展需要，不断创新</w:t>
      </w:r>
      <w:r>
        <w:rPr>
          <w:rFonts w:hint="eastAsia" w:ascii="仿宋_GB2312" w:hAnsi="仿宋" w:eastAsia="仿宋_GB2312"/>
          <w:sz w:val="32"/>
          <w:szCs w:val="32"/>
          <w:lang w:eastAsia="zh-CN"/>
        </w:rPr>
        <w:t>培养</w:t>
      </w:r>
      <w:r>
        <w:rPr>
          <w:rFonts w:hint="eastAsia" w:ascii="仿宋_GB2312" w:hAnsi="仿宋" w:eastAsia="仿宋_GB2312"/>
          <w:sz w:val="32"/>
          <w:szCs w:val="32"/>
        </w:rPr>
        <w:t>形式，在</w:t>
      </w:r>
      <w:r>
        <w:rPr>
          <w:rFonts w:hint="eastAsia" w:ascii="仿宋_GB2312" w:hAnsi="仿宋" w:eastAsia="仿宋_GB2312"/>
          <w:sz w:val="32"/>
          <w:szCs w:val="32"/>
          <w:lang w:eastAsia="zh-CN"/>
        </w:rPr>
        <w:t>培养</w:t>
      </w:r>
      <w:r>
        <w:rPr>
          <w:rFonts w:hint="eastAsia" w:ascii="仿宋_GB2312" w:hAnsi="仿宋" w:eastAsia="仿宋_GB2312"/>
          <w:sz w:val="32"/>
          <w:szCs w:val="32"/>
        </w:rPr>
        <w:t>精准化上下功夫，</w:t>
      </w:r>
      <w:r>
        <w:rPr>
          <w:rFonts w:ascii="仿宋_GB2312" w:hAnsi="仿宋" w:eastAsia="仿宋_GB2312"/>
          <w:sz w:val="32"/>
          <w:szCs w:val="32"/>
        </w:rPr>
        <w:t>探索运用</w:t>
      </w:r>
      <w:r>
        <w:rPr>
          <w:rFonts w:hint="eastAsia" w:ascii="仿宋_GB2312" w:hAnsi="仿宋" w:eastAsia="仿宋_GB2312"/>
          <w:sz w:val="32"/>
          <w:szCs w:val="32"/>
          <w:lang w:val="en-US" w:eastAsia="zh-CN"/>
        </w:rPr>
        <w:t>专题讲授、经验分享、案例分析、实地研学、实践实操</w:t>
      </w:r>
      <w:r>
        <w:rPr>
          <w:rFonts w:ascii="仿宋_GB2312" w:hAnsi="仿宋" w:eastAsia="仿宋_GB2312"/>
          <w:sz w:val="32"/>
          <w:szCs w:val="32"/>
        </w:rPr>
        <w:t>等教学方法，提高</w:t>
      </w:r>
      <w:r>
        <w:rPr>
          <w:rFonts w:hint="eastAsia" w:ascii="仿宋_GB2312" w:hAnsi="仿宋" w:eastAsia="仿宋_GB2312"/>
          <w:sz w:val="32"/>
          <w:szCs w:val="32"/>
          <w:lang w:eastAsia="zh-CN"/>
        </w:rPr>
        <w:t>培养</w:t>
      </w:r>
      <w:r>
        <w:rPr>
          <w:rFonts w:hint="eastAsia" w:ascii="仿宋_GB2312" w:hAnsi="仿宋" w:eastAsia="仿宋_GB2312"/>
          <w:sz w:val="32"/>
          <w:szCs w:val="32"/>
          <w:lang w:val="en-US" w:eastAsia="zh-CN"/>
        </w:rPr>
        <w:t>质量</w:t>
      </w:r>
      <w:r>
        <w:rPr>
          <w:rFonts w:hint="eastAsia" w:ascii="仿宋_GB2312" w:hAnsi="仿宋" w:eastAsia="仿宋_GB2312"/>
          <w:sz w:val="32"/>
          <w:szCs w:val="32"/>
        </w:rPr>
        <w:t>。</w:t>
      </w:r>
    </w:p>
    <w:p w14:paraId="08DA4F10">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仿宋_GB2312" w:hAnsi="仿宋" w:eastAsia="仿宋_GB2312"/>
          <w:sz w:val="32"/>
          <w:szCs w:val="32"/>
        </w:rPr>
      </w:pPr>
      <w:r>
        <w:rPr>
          <w:rFonts w:hint="eastAsia" w:ascii="黑体" w:hAnsi="黑体" w:eastAsia="黑体" w:cs="黑体"/>
          <w:b w:val="0"/>
          <w:bCs/>
          <w:sz w:val="32"/>
          <w:szCs w:val="32"/>
        </w:rPr>
        <w:t>第十</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基地与高校院所、企业、技术转移服务机构以及新型研发机构之间，应加强交流合作，强化资源共享、人才共用，共同开展跨区域、多领域、多层次的技术转移人才培养、使用和后续跟踪服务。</w:t>
      </w:r>
    </w:p>
    <w:p w14:paraId="41CB9092">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仿宋_GB2312" w:hAnsi="仿宋" w:eastAsia="仿宋_GB2312"/>
          <w:sz w:val="32"/>
          <w:szCs w:val="32"/>
        </w:rPr>
      </w:pPr>
      <w:r>
        <w:rPr>
          <w:rFonts w:hint="eastAsia" w:ascii="黑体" w:hAnsi="黑体" w:eastAsia="黑体" w:cs="黑体"/>
          <w:b w:val="0"/>
          <w:bCs/>
          <w:sz w:val="32"/>
          <w:szCs w:val="32"/>
        </w:rPr>
        <w:t>第十</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基地应拓展全球视野，加强</w:t>
      </w:r>
      <w:r>
        <w:rPr>
          <w:rFonts w:ascii="仿宋_GB2312" w:hAnsi="仿宋" w:eastAsia="仿宋_GB2312"/>
          <w:sz w:val="32"/>
          <w:szCs w:val="32"/>
        </w:rPr>
        <w:t>国际技术转移人才</w:t>
      </w:r>
      <w:r>
        <w:rPr>
          <w:rFonts w:hint="eastAsia" w:ascii="仿宋_GB2312" w:hAnsi="仿宋" w:eastAsia="仿宋_GB2312"/>
          <w:sz w:val="32"/>
          <w:szCs w:val="32"/>
        </w:rPr>
        <w:t>培养，</w:t>
      </w:r>
      <w:r>
        <w:rPr>
          <w:rFonts w:ascii="仿宋_GB2312" w:hAnsi="仿宋" w:eastAsia="仿宋_GB2312"/>
          <w:sz w:val="32"/>
          <w:szCs w:val="32"/>
        </w:rPr>
        <w:t>在推进国际技术转移、提升国际科技合作水平、汇聚高层次创新人才方面发挥重要作用</w:t>
      </w:r>
      <w:r>
        <w:rPr>
          <w:rFonts w:hint="eastAsia" w:ascii="仿宋_GB2312" w:hAnsi="仿宋" w:eastAsia="仿宋_GB2312"/>
          <w:sz w:val="32"/>
          <w:szCs w:val="32"/>
        </w:rPr>
        <w:t>。</w:t>
      </w:r>
    </w:p>
    <w:p w14:paraId="081694EF">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jc w:val="both"/>
        <w:textAlignment w:val="auto"/>
        <w:rPr>
          <w:rStyle w:val="29"/>
          <w:rFonts w:hint="eastAsia" w:ascii="黑体" w:hAnsi="黑体" w:eastAsia="黑体" w:cs="黑体"/>
          <w:b w:val="0"/>
          <w:bCs w:val="0"/>
          <w:color w:val="333333"/>
          <w:sz w:val="32"/>
          <w:szCs w:val="32"/>
        </w:rPr>
      </w:pPr>
    </w:p>
    <w:p w14:paraId="1609916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0"/>
        <w:jc w:val="center"/>
        <w:textAlignment w:val="auto"/>
        <w:rPr>
          <w:rFonts w:hint="default" w:ascii="黑体" w:hAnsi="黑体" w:eastAsia="黑体" w:cs="黑体"/>
          <w:bCs/>
          <w:i w:val="0"/>
          <w:iCs w:val="0"/>
          <w:caps w:val="0"/>
          <w:color w:val="333333"/>
          <w:spacing w:val="0"/>
          <w:sz w:val="32"/>
          <w:szCs w:val="32"/>
          <w:lang w:val="en-US" w:eastAsia="zh-CN"/>
        </w:rPr>
      </w:pPr>
      <w:r>
        <w:rPr>
          <w:rStyle w:val="29"/>
          <w:rFonts w:hint="eastAsia" w:ascii="黑体" w:hAnsi="黑体" w:eastAsia="黑体" w:cs="黑体"/>
          <w:b w:val="0"/>
          <w:bCs/>
          <w:i w:val="0"/>
          <w:iCs w:val="0"/>
          <w:caps w:val="0"/>
          <w:color w:val="333333"/>
          <w:spacing w:val="0"/>
          <w:sz w:val="32"/>
          <w:szCs w:val="32"/>
          <w:u w:val="none"/>
          <w:shd w:val="clear" w:color="auto" w:fill="FFFFFF"/>
        </w:rPr>
        <w:t>第</w:t>
      </w:r>
      <w:r>
        <w:rPr>
          <w:rStyle w:val="29"/>
          <w:rFonts w:hint="eastAsia" w:ascii="黑体" w:hAnsi="黑体" w:eastAsia="黑体" w:cs="黑体"/>
          <w:b w:val="0"/>
          <w:bCs/>
          <w:i w:val="0"/>
          <w:iCs w:val="0"/>
          <w:caps w:val="0"/>
          <w:color w:val="333333"/>
          <w:spacing w:val="0"/>
          <w:sz w:val="32"/>
          <w:szCs w:val="32"/>
          <w:u w:val="none"/>
          <w:shd w:val="clear" w:color="auto" w:fill="FFFFFF"/>
          <w:lang w:val="en-US" w:eastAsia="zh-CN"/>
        </w:rPr>
        <w:t>五</w:t>
      </w:r>
      <w:r>
        <w:rPr>
          <w:rStyle w:val="29"/>
          <w:rFonts w:hint="eastAsia" w:ascii="黑体" w:hAnsi="黑体" w:eastAsia="黑体" w:cs="黑体"/>
          <w:b w:val="0"/>
          <w:bCs/>
          <w:i w:val="0"/>
          <w:iCs w:val="0"/>
          <w:caps w:val="0"/>
          <w:color w:val="333333"/>
          <w:spacing w:val="0"/>
          <w:sz w:val="32"/>
          <w:szCs w:val="32"/>
          <w:u w:val="none"/>
          <w:shd w:val="clear" w:color="auto" w:fill="FFFFFF"/>
        </w:rPr>
        <w:t>章  证书</w:t>
      </w:r>
      <w:r>
        <w:rPr>
          <w:rStyle w:val="29"/>
          <w:rFonts w:hint="eastAsia" w:ascii="黑体" w:hAnsi="黑体" w:eastAsia="黑体" w:cs="黑体"/>
          <w:b w:val="0"/>
          <w:bCs/>
          <w:i w:val="0"/>
          <w:iCs w:val="0"/>
          <w:caps w:val="0"/>
          <w:color w:val="333333"/>
          <w:spacing w:val="0"/>
          <w:sz w:val="32"/>
          <w:szCs w:val="32"/>
          <w:u w:val="none"/>
          <w:shd w:val="clear" w:color="auto" w:fill="FFFFFF"/>
          <w:lang w:val="en-US" w:eastAsia="zh-CN"/>
        </w:rPr>
        <w:t>发放及备案</w:t>
      </w:r>
    </w:p>
    <w:p w14:paraId="7D95796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黑体" w:hAnsi="黑体" w:eastAsia="黑体" w:cs="黑体"/>
          <w:b w:val="0"/>
          <w:bCs/>
          <w:i w:val="0"/>
          <w:iCs w:val="0"/>
          <w:caps w:val="0"/>
          <w:spacing w:val="0"/>
          <w:sz w:val="32"/>
          <w:szCs w:val="32"/>
          <w:shd w:val="clear"/>
        </w:rPr>
        <w:t>第十</w:t>
      </w:r>
      <w:r>
        <w:rPr>
          <w:rFonts w:hint="eastAsia" w:ascii="黑体" w:hAnsi="黑体" w:eastAsia="黑体" w:cs="黑体"/>
          <w:b w:val="0"/>
          <w:bCs/>
          <w:i w:val="0"/>
          <w:iCs w:val="0"/>
          <w:caps w:val="0"/>
          <w:spacing w:val="0"/>
          <w:sz w:val="32"/>
          <w:szCs w:val="32"/>
          <w:shd w:val="clear"/>
          <w:lang w:val="en-US" w:eastAsia="zh-CN"/>
        </w:rPr>
        <w:t>六</w:t>
      </w:r>
      <w:r>
        <w:rPr>
          <w:rFonts w:hint="eastAsia" w:ascii="黑体" w:hAnsi="黑体" w:eastAsia="黑体" w:cs="黑体"/>
          <w:b w:val="0"/>
          <w:bCs/>
          <w:i w:val="0"/>
          <w:iCs w:val="0"/>
          <w:caps w:val="0"/>
          <w:spacing w:val="0"/>
          <w:sz w:val="32"/>
          <w:szCs w:val="32"/>
          <w:shd w:val="clear"/>
        </w:rPr>
        <w:t>条</w:t>
      </w:r>
      <w:r>
        <w:rPr>
          <w:rFonts w:hint="eastAsia" w:ascii="黑体" w:hAnsi="黑体" w:eastAsia="黑体" w:cs="黑体"/>
          <w:b w:val="0"/>
          <w:bCs/>
          <w:i w:val="0"/>
          <w:iCs w:val="0"/>
          <w:caps w:val="0"/>
          <w:spacing w:val="0"/>
          <w:sz w:val="32"/>
          <w:szCs w:val="32"/>
          <w:shd w:val="clear"/>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rPr>
        <w:t>完成基地规定的培训课程、实践任务及相关考核，成绩合格者，由基地颁发“</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山东省技术转移人员专业能力培养结业</w:t>
      </w:r>
      <w:r>
        <w:rPr>
          <w:rFonts w:hint="eastAsia" w:ascii="仿宋_GB2312" w:hAnsi="仿宋_GB2312" w:eastAsia="仿宋_GB2312" w:cs="仿宋_GB2312"/>
          <w:i w:val="0"/>
          <w:iCs w:val="0"/>
          <w:caps w:val="0"/>
          <w:color w:val="333333"/>
          <w:spacing w:val="0"/>
          <w:sz w:val="32"/>
          <w:szCs w:val="32"/>
          <w:shd w:val="clear" w:color="auto" w:fill="FFFFFF"/>
        </w:rPr>
        <w:t>证书”。统一落款为“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山东省</w:t>
      </w:r>
      <w:r>
        <w:rPr>
          <w:rFonts w:hint="eastAsia" w:ascii="仿宋_GB2312" w:hAnsi="仿宋_GB2312" w:eastAsia="仿宋_GB2312" w:cs="仿宋_GB2312"/>
          <w:i w:val="0"/>
          <w:iCs w:val="0"/>
          <w:caps w:val="0"/>
          <w:color w:val="333333"/>
          <w:spacing w:val="0"/>
          <w:sz w:val="32"/>
          <w:szCs w:val="32"/>
          <w:shd w:val="clear" w:color="auto" w:fill="FFFFFF"/>
        </w:rPr>
        <w:t>技术转移人才培养基地”，由依托</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单位</w:t>
      </w:r>
      <w:r>
        <w:rPr>
          <w:rFonts w:hint="eastAsia" w:ascii="仿宋_GB2312" w:hAnsi="仿宋_GB2312" w:eastAsia="仿宋_GB2312" w:cs="仿宋_GB2312"/>
          <w:i w:val="0"/>
          <w:iCs w:val="0"/>
          <w:caps w:val="0"/>
          <w:color w:val="333333"/>
          <w:spacing w:val="0"/>
          <w:sz w:val="32"/>
          <w:szCs w:val="32"/>
          <w:shd w:val="clear" w:color="auto" w:fill="FFFFFF"/>
        </w:rPr>
        <w:t>代章。合作办学的，可由</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山东省</w:t>
      </w:r>
      <w:r>
        <w:rPr>
          <w:rFonts w:hint="eastAsia" w:ascii="仿宋_GB2312" w:hAnsi="仿宋_GB2312" w:eastAsia="仿宋_GB2312" w:cs="仿宋_GB2312"/>
          <w:i w:val="0"/>
          <w:iCs w:val="0"/>
          <w:caps w:val="0"/>
          <w:color w:val="333333"/>
          <w:spacing w:val="0"/>
          <w:sz w:val="32"/>
          <w:szCs w:val="32"/>
          <w:shd w:val="clear" w:color="auto" w:fill="FFFFFF"/>
        </w:rPr>
        <w:t>技术转移人才培养基地依托</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单位</w:t>
      </w:r>
      <w:r>
        <w:rPr>
          <w:rFonts w:hint="eastAsia" w:ascii="仿宋_GB2312" w:hAnsi="仿宋_GB2312" w:eastAsia="仿宋_GB2312" w:cs="仿宋_GB2312"/>
          <w:i w:val="0"/>
          <w:iCs w:val="0"/>
          <w:caps w:val="0"/>
          <w:color w:val="333333"/>
          <w:spacing w:val="0"/>
          <w:sz w:val="32"/>
          <w:szCs w:val="32"/>
          <w:shd w:val="clear" w:color="auto" w:fill="FFFFFF"/>
        </w:rPr>
        <w:t>与合作单位共同盖章。</w:t>
      </w:r>
    </w:p>
    <w:p w14:paraId="54BE00FD">
      <w:pPr>
        <w:pStyle w:val="2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Lines="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黑体" w:hAnsi="黑体" w:eastAsia="黑体" w:cs="黑体"/>
          <w:b w:val="0"/>
          <w:bCs/>
          <w:i w:val="0"/>
          <w:iCs w:val="0"/>
          <w:caps w:val="0"/>
          <w:spacing w:val="0"/>
          <w:sz w:val="32"/>
          <w:szCs w:val="32"/>
          <w:shd w:val="clear"/>
        </w:rPr>
        <w:t>第十</w:t>
      </w:r>
      <w:r>
        <w:rPr>
          <w:rFonts w:hint="eastAsia" w:ascii="黑体" w:hAnsi="黑体" w:eastAsia="黑体" w:cs="黑体"/>
          <w:b w:val="0"/>
          <w:bCs/>
          <w:i w:val="0"/>
          <w:iCs w:val="0"/>
          <w:caps w:val="0"/>
          <w:spacing w:val="0"/>
          <w:sz w:val="32"/>
          <w:szCs w:val="32"/>
          <w:shd w:val="clear"/>
          <w:lang w:val="en-US" w:eastAsia="zh-CN"/>
        </w:rPr>
        <w:t>七</w:t>
      </w:r>
      <w:r>
        <w:rPr>
          <w:rFonts w:hint="eastAsia" w:ascii="黑体" w:hAnsi="黑体" w:eastAsia="黑体" w:cs="黑体"/>
          <w:b w:val="0"/>
          <w:bCs/>
          <w:i w:val="0"/>
          <w:iCs w:val="0"/>
          <w:caps w:val="0"/>
          <w:spacing w:val="0"/>
          <w:sz w:val="32"/>
          <w:szCs w:val="32"/>
          <w:shd w:val="clear"/>
        </w:rPr>
        <w:t>条</w:t>
      </w:r>
      <w:r>
        <w:rPr>
          <w:rFonts w:hint="eastAsia" w:ascii="黑体" w:hAnsi="黑体" w:eastAsia="黑体" w:cs="黑体"/>
          <w:b w:val="0"/>
          <w:bCs/>
          <w:i w:val="0"/>
          <w:iCs w:val="0"/>
          <w:caps w:val="0"/>
          <w:spacing w:val="0"/>
          <w:sz w:val="32"/>
          <w:szCs w:val="32"/>
          <w:shd w:val="clear"/>
          <w:lang w:val="en-US" w:eastAsia="zh-CN"/>
        </w:rPr>
        <w:t xml:space="preserve">  </w:t>
      </w:r>
      <w:r>
        <w:rPr>
          <w:rFonts w:hint="eastAsia" w:ascii="仿宋_GB2312" w:hAnsi="仿宋" w:eastAsia="仿宋_GB2312"/>
          <w:sz w:val="32"/>
          <w:szCs w:val="32"/>
        </w:rPr>
        <w:t>基地</w:t>
      </w:r>
      <w:r>
        <w:rPr>
          <w:rFonts w:hint="eastAsia" w:ascii="仿宋_GB2312" w:hAnsi="仿宋" w:eastAsia="仿宋_GB2312"/>
          <w:sz w:val="32"/>
          <w:szCs w:val="32"/>
          <w:lang w:val="en-US" w:eastAsia="zh-CN"/>
        </w:rPr>
        <w:t>应</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培养</w:t>
      </w:r>
      <w:r>
        <w:rPr>
          <w:rFonts w:hint="default" w:ascii="Times New Roman" w:hAnsi="Times New Roman" w:eastAsia="仿宋_GB2312" w:cs="Times New Roman"/>
          <w:sz w:val="32"/>
          <w:szCs w:val="32"/>
        </w:rPr>
        <w:t>结束30日内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将技术转移人员信息及证书扫描件经省直有关部门和市科技局审核后，</w:t>
      </w:r>
      <w:r>
        <w:rPr>
          <w:rFonts w:hint="default" w:ascii="Times New Roman" w:hAnsi="Times New Roman" w:eastAsia="仿宋_GB2312" w:cs="Times New Roman"/>
          <w:sz w:val="32"/>
          <w:szCs w:val="32"/>
        </w:rPr>
        <w:t>报省科技厅备案。</w:t>
      </w:r>
    </w:p>
    <w:p w14:paraId="5B419232">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jc w:val="center"/>
        <w:textAlignment w:val="auto"/>
        <w:rPr>
          <w:rStyle w:val="29"/>
          <w:rFonts w:hint="eastAsia" w:ascii="黑体" w:hAnsi="黑体" w:eastAsia="黑体" w:cs="黑体"/>
          <w:b w:val="0"/>
          <w:bCs w:val="0"/>
          <w:color w:val="333333"/>
          <w:sz w:val="32"/>
          <w:szCs w:val="32"/>
        </w:rPr>
      </w:pPr>
    </w:p>
    <w:p w14:paraId="577EAA01">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jc w:val="center"/>
        <w:textAlignment w:val="auto"/>
        <w:rPr>
          <w:rStyle w:val="29"/>
          <w:rFonts w:ascii="仿宋_GB2312" w:hAnsi="仿宋" w:eastAsia="仿宋_GB2312" w:cs="宋体"/>
          <w:b w:val="0"/>
          <w:bCs w:val="0"/>
          <w:sz w:val="32"/>
          <w:szCs w:val="32"/>
          <w:u w:val="none"/>
        </w:rPr>
      </w:pPr>
      <w:r>
        <w:rPr>
          <w:rStyle w:val="29"/>
          <w:rFonts w:hint="eastAsia" w:ascii="黑体" w:hAnsi="黑体" w:eastAsia="黑体" w:cs="黑体"/>
          <w:b w:val="0"/>
          <w:bCs w:val="0"/>
          <w:color w:val="333333"/>
          <w:sz w:val="32"/>
          <w:szCs w:val="32"/>
          <w:u w:val="none"/>
        </w:rPr>
        <w:t>第</w:t>
      </w:r>
      <w:r>
        <w:rPr>
          <w:rStyle w:val="29"/>
          <w:rFonts w:hint="eastAsia" w:ascii="黑体" w:hAnsi="黑体" w:eastAsia="黑体" w:cs="黑体"/>
          <w:b w:val="0"/>
          <w:bCs w:val="0"/>
          <w:color w:val="333333"/>
          <w:sz w:val="32"/>
          <w:szCs w:val="32"/>
          <w:u w:val="none"/>
          <w:lang w:val="en-US" w:eastAsia="zh-CN"/>
        </w:rPr>
        <w:t>六</w:t>
      </w:r>
      <w:r>
        <w:rPr>
          <w:rStyle w:val="29"/>
          <w:rFonts w:hint="eastAsia" w:ascii="黑体" w:hAnsi="黑体" w:eastAsia="黑体" w:cs="黑体"/>
          <w:b w:val="0"/>
          <w:bCs w:val="0"/>
          <w:color w:val="333333"/>
          <w:sz w:val="32"/>
          <w:szCs w:val="32"/>
          <w:u w:val="none"/>
        </w:rPr>
        <w:t xml:space="preserve">章 </w:t>
      </w:r>
      <w:r>
        <w:rPr>
          <w:rStyle w:val="29"/>
          <w:rFonts w:hint="eastAsia" w:ascii="黑体" w:hAnsi="黑体" w:eastAsia="黑体" w:cs="黑体"/>
          <w:b w:val="0"/>
          <w:bCs w:val="0"/>
          <w:color w:val="333333"/>
          <w:sz w:val="32"/>
          <w:szCs w:val="32"/>
          <w:u w:val="none"/>
          <w:lang w:val="en-US" w:eastAsia="zh-CN"/>
        </w:rPr>
        <w:t xml:space="preserve"> 绩效</w:t>
      </w:r>
      <w:r>
        <w:rPr>
          <w:rStyle w:val="29"/>
          <w:rFonts w:hint="eastAsia" w:ascii="黑体" w:hAnsi="黑体" w:eastAsia="黑体" w:cs="黑体"/>
          <w:b w:val="0"/>
          <w:bCs w:val="0"/>
          <w:color w:val="333333"/>
          <w:sz w:val="32"/>
          <w:szCs w:val="32"/>
          <w:u w:val="none"/>
        </w:rPr>
        <w:t>评价与管理</w:t>
      </w:r>
    </w:p>
    <w:p w14:paraId="135FB196">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5"/>
        <w:jc w:val="both"/>
        <w:textAlignment w:val="auto"/>
        <w:rPr>
          <w:rFonts w:ascii="仿宋_GB2312" w:hAnsi="仿宋"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十八</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b w:val="0"/>
          <w:sz w:val="32"/>
          <w:szCs w:val="32"/>
          <w:lang w:val="en-US" w:eastAsia="zh-CN"/>
        </w:rPr>
        <w:t>省科技厅对认定的基地进行年度绩效评价，</w:t>
      </w:r>
      <w:r>
        <w:rPr>
          <w:rFonts w:hint="eastAsia" w:ascii="仿宋_GB2312" w:hAnsi="仿宋" w:eastAsia="仿宋_GB2312"/>
          <w:sz w:val="32"/>
          <w:szCs w:val="32"/>
        </w:rPr>
        <w:t>每年评价一次，主要</w:t>
      </w:r>
      <w:r>
        <w:rPr>
          <w:rFonts w:hint="eastAsia" w:ascii="仿宋_GB2312" w:hAnsi="仿宋" w:eastAsia="仿宋_GB2312"/>
          <w:sz w:val="32"/>
          <w:szCs w:val="32"/>
          <w:lang w:val="en-US" w:eastAsia="zh-CN"/>
        </w:rPr>
        <w:t>评价</w:t>
      </w:r>
      <w:r>
        <w:rPr>
          <w:rFonts w:hint="eastAsia" w:ascii="仿宋_GB2312" w:hAnsi="仿宋" w:eastAsia="仿宋_GB2312"/>
          <w:sz w:val="32"/>
          <w:szCs w:val="32"/>
        </w:rPr>
        <w:t>基地</w:t>
      </w:r>
      <w:r>
        <w:rPr>
          <w:rFonts w:hint="eastAsia" w:ascii="仿宋_GB2312" w:hAnsi="仿宋" w:eastAsia="仿宋_GB2312"/>
          <w:sz w:val="32"/>
          <w:szCs w:val="32"/>
          <w:lang w:val="en-US" w:eastAsia="zh-CN"/>
        </w:rPr>
        <w:t>规范</w:t>
      </w:r>
      <w:r>
        <w:rPr>
          <w:rFonts w:hint="eastAsia" w:ascii="仿宋_GB2312" w:hAnsi="仿宋" w:eastAsia="仿宋_GB2312"/>
          <w:sz w:val="32"/>
          <w:szCs w:val="32"/>
        </w:rPr>
        <w:t>管理、</w:t>
      </w:r>
      <w:r>
        <w:rPr>
          <w:rFonts w:hint="eastAsia" w:ascii="仿宋_GB2312" w:hAnsi="仿宋" w:eastAsia="仿宋_GB2312"/>
          <w:sz w:val="32"/>
          <w:szCs w:val="32"/>
          <w:lang w:val="en-US" w:eastAsia="zh-CN"/>
        </w:rPr>
        <w:t>教材课程项目体系建设</w:t>
      </w:r>
      <w:r>
        <w:rPr>
          <w:rFonts w:hint="eastAsia" w:ascii="仿宋_GB2312" w:hAnsi="仿宋" w:eastAsia="仿宋_GB2312"/>
          <w:sz w:val="32"/>
          <w:szCs w:val="32"/>
        </w:rPr>
        <w:t>、</w:t>
      </w:r>
      <w:r>
        <w:rPr>
          <w:rFonts w:hint="eastAsia" w:ascii="仿宋_GB2312" w:hAnsi="仿宋" w:eastAsia="仿宋_GB2312"/>
          <w:sz w:val="32"/>
          <w:szCs w:val="32"/>
          <w:lang w:eastAsia="zh-CN"/>
        </w:rPr>
        <w:t>培养</w:t>
      </w:r>
      <w:r>
        <w:rPr>
          <w:rFonts w:hint="eastAsia" w:ascii="仿宋_GB2312" w:hAnsi="仿宋" w:eastAsia="仿宋_GB2312"/>
          <w:sz w:val="32"/>
          <w:szCs w:val="32"/>
        </w:rPr>
        <w:t>绩效等内容。</w:t>
      </w:r>
    </w:p>
    <w:p w14:paraId="1A89D08D">
      <w:pPr>
        <w:snapToGrid/>
        <w:spacing w:after="0" w:afterLines="0" w:line="580" w:lineRule="exact"/>
        <w:ind w:firstLine="636"/>
        <w:contextualSpacing/>
        <w:rPr>
          <w:rFonts w:hint="default" w:ascii="Times New Roman" w:hAnsi="Times New Roman" w:eastAsia="仿宋_GB2312" w:cs="Times New Roman"/>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十九</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default" w:ascii="Times New Roman" w:hAnsi="Times New Roman" w:eastAsia="仿宋_GB2312" w:cs="Times New Roman"/>
          <w:sz w:val="32"/>
          <w:szCs w:val="32"/>
        </w:rPr>
        <w:t>评价结果分为“优秀”“良好”“合格”“不合格”4个等次，绩效评价结果作为政策支持的重要依据。对绩效评价为“优秀”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良好”</w:t>
      </w:r>
      <w:r>
        <w:rPr>
          <w:rFonts w:hint="default" w:ascii="Times New Roman" w:hAnsi="Times New Roman" w:eastAsia="仿宋_GB2312" w:cs="Times New Roman"/>
          <w:sz w:val="32"/>
          <w:szCs w:val="32"/>
        </w:rPr>
        <w:t>的基地，</w:t>
      </w:r>
      <w:r>
        <w:rPr>
          <w:rFonts w:hint="eastAsia" w:ascii="Times New Roman" w:hAnsi="Times New Roman" w:eastAsia="仿宋_GB2312" w:cs="Times New Roman"/>
          <w:sz w:val="32"/>
          <w:szCs w:val="32"/>
          <w:lang w:val="en-US" w:eastAsia="zh-CN"/>
        </w:rPr>
        <w:t>分别给予50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30万元</w:t>
      </w:r>
      <w:r>
        <w:rPr>
          <w:rFonts w:hint="default" w:ascii="Times New Roman" w:hAnsi="Times New Roman" w:eastAsia="仿宋_GB2312" w:cs="Times New Roman"/>
          <w:sz w:val="32"/>
          <w:szCs w:val="32"/>
        </w:rPr>
        <w:t>的奖补支持。对绩效评价结果为“不合格”的，取消其基地认定资格。</w:t>
      </w:r>
    </w:p>
    <w:p w14:paraId="03C26D28">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5"/>
        <w:jc w:val="both"/>
        <w:textAlignment w:val="auto"/>
        <w:rPr>
          <w:rFonts w:hint="eastAsia" w:ascii="仿宋_GB2312" w:hAnsi="仿宋" w:eastAsia="仿宋_GB2312"/>
          <w:sz w:val="32"/>
          <w:szCs w:val="32"/>
        </w:rPr>
      </w:pPr>
      <w:r>
        <w:rPr>
          <w:rFonts w:hint="eastAsia" w:ascii="黑体" w:hAnsi="黑体" w:eastAsia="黑体" w:cs="黑体"/>
          <w:b w:val="0"/>
          <w:bCs/>
          <w:sz w:val="32"/>
          <w:szCs w:val="32"/>
        </w:rPr>
        <w:t>第二十条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获得奖补支持的基地应按照规定用途，对资助资金实行专款专用、专项管理。奖补资金应严格按照《山</w:t>
      </w:r>
      <w:r>
        <w:rPr>
          <w:rFonts w:ascii="仿宋_GB2312" w:hAnsi="仿宋" w:eastAsia="仿宋_GB2312"/>
          <w:sz w:val="32"/>
          <w:szCs w:val="32"/>
        </w:rPr>
        <w:t>东省省级科技创新发展</w:t>
      </w:r>
      <w:r>
        <w:rPr>
          <w:rFonts w:hint="eastAsia" w:ascii="仿宋_GB2312" w:hAnsi="仿宋" w:eastAsia="仿宋_GB2312"/>
          <w:sz w:val="32"/>
          <w:szCs w:val="32"/>
          <w:lang w:val="en-US" w:eastAsia="zh-CN"/>
        </w:rPr>
        <w:t>资金</w:t>
      </w:r>
      <w:r>
        <w:rPr>
          <w:rFonts w:hint="eastAsia" w:ascii="仿宋_GB2312" w:hAnsi="仿宋" w:eastAsia="仿宋_GB2312"/>
          <w:sz w:val="32"/>
          <w:szCs w:val="32"/>
        </w:rPr>
        <w:t>管理</w:t>
      </w:r>
      <w:r>
        <w:rPr>
          <w:rFonts w:ascii="仿宋_GB2312" w:hAnsi="仿宋" w:eastAsia="仿宋_GB2312"/>
          <w:sz w:val="32"/>
          <w:szCs w:val="32"/>
        </w:rPr>
        <w:t>办法》</w:t>
      </w:r>
      <w:r>
        <w:rPr>
          <w:rFonts w:hint="eastAsia" w:ascii="仿宋_GB2312" w:hAnsi="仿宋" w:eastAsia="仿宋_GB2312"/>
          <w:sz w:val="32"/>
          <w:szCs w:val="32"/>
        </w:rPr>
        <w:t>要求使用，可用于教材编制、出版，</w:t>
      </w:r>
      <w:r>
        <w:rPr>
          <w:rFonts w:hint="eastAsia" w:ascii="仿宋_GB2312" w:hAnsi="仿宋" w:eastAsia="仿宋_GB2312"/>
          <w:sz w:val="32"/>
          <w:szCs w:val="32"/>
          <w:lang w:eastAsia="zh-CN"/>
        </w:rPr>
        <w:t>培养</w:t>
      </w:r>
      <w:r>
        <w:rPr>
          <w:rFonts w:hint="eastAsia" w:ascii="仿宋_GB2312" w:hAnsi="仿宋" w:eastAsia="仿宋_GB2312"/>
          <w:sz w:val="32"/>
          <w:szCs w:val="32"/>
        </w:rPr>
        <w:t>场地设备租赁使用，以及</w:t>
      </w:r>
      <w:r>
        <w:rPr>
          <w:rFonts w:hint="eastAsia" w:ascii="仿宋_GB2312" w:hAnsi="仿宋" w:eastAsia="仿宋_GB2312"/>
          <w:sz w:val="32"/>
          <w:szCs w:val="32"/>
          <w:lang w:eastAsia="zh-CN"/>
        </w:rPr>
        <w:t>培养</w:t>
      </w:r>
      <w:r>
        <w:rPr>
          <w:rFonts w:hint="eastAsia" w:ascii="仿宋_GB2312" w:hAnsi="仿宋" w:eastAsia="仿宋_GB2312"/>
          <w:sz w:val="32"/>
          <w:szCs w:val="32"/>
        </w:rPr>
        <w:t>专家劳务费、差旅费等方面。省科技厅加强对奖补资金管理使用情况的监督检查，并将奖补资金使用效益作为绩效评价的重要依据。</w:t>
      </w:r>
    </w:p>
    <w:p w14:paraId="40F26C99">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5"/>
        <w:jc w:val="both"/>
        <w:textAlignment w:val="auto"/>
        <w:rPr>
          <w:rFonts w:ascii="仿宋_GB2312" w:hAnsi="仿宋"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基地申报、绩效评价过程中有下列情形的，按相关规定列入科研失信行为；已经认定的，撤销其基地认定资格：</w:t>
      </w:r>
    </w:p>
    <w:p w14:paraId="21F4462C">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5"/>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（一）</w:t>
      </w:r>
      <w:r>
        <w:rPr>
          <w:rFonts w:hint="default" w:ascii="Times New Roman" w:hAnsi="Times New Roman" w:eastAsia="仿宋_GB2312" w:cs="Times New Roman"/>
          <w:sz w:val="32"/>
          <w:szCs w:val="32"/>
        </w:rPr>
        <w:t>有提供虚假材料、数据等行为的；</w:t>
      </w:r>
    </w:p>
    <w:p w14:paraId="5B029B5F">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5"/>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二</w:t>
      </w:r>
      <w:r>
        <w:rPr>
          <w:rFonts w:hint="eastAsia" w:ascii="仿宋_GB2312" w:hAnsi="仿宋" w:eastAsia="仿宋_GB2312"/>
          <w:sz w:val="32"/>
          <w:szCs w:val="32"/>
        </w:rPr>
        <w:t>）</w:t>
      </w:r>
      <w:r>
        <w:rPr>
          <w:rFonts w:hint="eastAsia" w:ascii="仿宋_GB2312" w:hAnsi="仿宋" w:eastAsia="仿宋_GB2312"/>
          <w:sz w:val="32"/>
          <w:szCs w:val="32"/>
          <w:lang w:val="en-US" w:eastAsia="zh-CN"/>
        </w:rPr>
        <w:t>擅自颁发不规范信息证书</w:t>
      </w:r>
      <w:r>
        <w:rPr>
          <w:rFonts w:hint="eastAsia" w:ascii="仿宋_GB2312" w:hAnsi="仿宋" w:eastAsia="仿宋_GB2312"/>
          <w:sz w:val="32"/>
          <w:szCs w:val="32"/>
        </w:rPr>
        <w:t>的</w:t>
      </w:r>
      <w:r>
        <w:rPr>
          <w:rFonts w:hint="eastAsia" w:ascii="仿宋_GB2312" w:hAnsi="仿宋" w:eastAsia="仿宋_GB2312"/>
          <w:sz w:val="32"/>
          <w:szCs w:val="32"/>
          <w:lang w:eastAsia="zh-CN"/>
        </w:rPr>
        <w:t>；</w:t>
      </w:r>
    </w:p>
    <w:p w14:paraId="1D38DF66">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5"/>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三）存在违规收费，造成不良后果的；</w:t>
      </w:r>
    </w:p>
    <w:p w14:paraId="3769F509">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5"/>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（四）无正当理由未按期参加绩效评价的；</w:t>
      </w:r>
    </w:p>
    <w:p w14:paraId="0DEACD54">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5"/>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（五）管理不善，发生严重安全事故的；</w:t>
      </w:r>
    </w:p>
    <w:p w14:paraId="6267C454">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5"/>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（六）其他科研失信行为。</w:t>
      </w:r>
    </w:p>
    <w:p w14:paraId="293AB676">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Times New Roman" w:hAnsi="Times New Roman" w:eastAsia="仿宋_GB2312" w:cs="Times New Roman"/>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default" w:ascii="Times New Roman" w:hAnsi="Times New Roman" w:eastAsia="仿宋_GB2312" w:cs="Times New Roman"/>
          <w:sz w:val="32"/>
          <w:szCs w:val="32"/>
        </w:rPr>
        <w:t>基地</w:t>
      </w:r>
      <w:r>
        <w:rPr>
          <w:rFonts w:hint="eastAsia" w:ascii="Times New Roman" w:hAnsi="Times New Roman" w:eastAsia="仿宋_GB2312" w:cs="Times New Roman"/>
          <w:sz w:val="32"/>
          <w:szCs w:val="32"/>
          <w:lang w:val="en-US" w:eastAsia="zh-CN"/>
        </w:rPr>
        <w:t>依托单位</w:t>
      </w:r>
      <w:r>
        <w:rPr>
          <w:rFonts w:hint="default" w:ascii="Times New Roman" w:hAnsi="Times New Roman" w:eastAsia="仿宋_GB2312" w:cs="Times New Roman"/>
          <w:sz w:val="32"/>
          <w:szCs w:val="32"/>
        </w:rPr>
        <w:t>发生变更经营范围、合并、分立等情况，需</w:t>
      </w:r>
      <w:r>
        <w:rPr>
          <w:rFonts w:hint="eastAsia" w:ascii="Times New Roman" w:hAnsi="Times New Roman" w:eastAsia="仿宋_GB2312" w:cs="Times New Roman"/>
          <w:sz w:val="32"/>
          <w:szCs w:val="32"/>
          <w:lang w:val="en-US" w:eastAsia="zh-CN"/>
        </w:rPr>
        <w:t>对基地</w:t>
      </w:r>
      <w:r>
        <w:rPr>
          <w:rFonts w:hint="default" w:ascii="Times New Roman" w:hAnsi="Times New Roman" w:eastAsia="仿宋_GB2312" w:cs="Times New Roman"/>
          <w:sz w:val="32"/>
          <w:szCs w:val="32"/>
        </w:rPr>
        <w:t>进行调整、变更、撤销等处理的，应在30个工作日内向</w:t>
      </w:r>
      <w:r>
        <w:rPr>
          <w:rFonts w:hint="default" w:ascii="Times New Roman" w:hAnsi="Times New Roman" w:eastAsia="仿宋_GB2312" w:cs="Times New Roman"/>
          <w:sz w:val="32"/>
          <w:szCs w:val="32"/>
          <w:lang w:val="en-US" w:eastAsia="zh-CN"/>
        </w:rPr>
        <w:t>省直有关部门</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所在市科技局报送相关信息，并由</w:t>
      </w:r>
      <w:r>
        <w:rPr>
          <w:rFonts w:hint="default" w:ascii="Times New Roman" w:hAnsi="Times New Roman" w:eastAsia="仿宋_GB2312" w:cs="Times New Roman"/>
          <w:sz w:val="32"/>
          <w:szCs w:val="32"/>
          <w:lang w:val="en-US" w:eastAsia="zh-CN"/>
        </w:rPr>
        <w:t>省直有关部门</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所在市科技局及时报省科技厅。</w:t>
      </w:r>
    </w:p>
    <w:p w14:paraId="52CE3705">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0" w:firstLineChars="0"/>
        <w:jc w:val="both"/>
        <w:textAlignment w:val="auto"/>
        <w:rPr>
          <w:rStyle w:val="29"/>
          <w:rFonts w:ascii="仿宋_GB2312" w:hAnsi="仿宋" w:eastAsia="仿宋_GB2312" w:cs="宋体"/>
          <w:b w:val="0"/>
          <w:bCs w:val="0"/>
          <w:sz w:val="32"/>
          <w:szCs w:val="32"/>
        </w:rPr>
      </w:pPr>
    </w:p>
    <w:p w14:paraId="1E8F8491">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jc w:val="center"/>
        <w:textAlignment w:val="auto"/>
        <w:rPr>
          <w:rFonts w:ascii="仿宋_GB2312" w:hAnsi="微软雅黑" w:eastAsia="仿宋_GB2312"/>
          <w:color w:val="333333"/>
          <w:sz w:val="32"/>
          <w:szCs w:val="32"/>
        </w:rPr>
      </w:pPr>
      <w:r>
        <w:rPr>
          <w:rStyle w:val="29"/>
          <w:rFonts w:hint="eastAsia" w:ascii="黑体" w:hAnsi="黑体" w:eastAsia="黑体" w:cs="黑体"/>
          <w:b w:val="0"/>
          <w:bCs w:val="0"/>
          <w:color w:val="333333"/>
          <w:sz w:val="32"/>
          <w:szCs w:val="32"/>
          <w:u w:val="none"/>
        </w:rPr>
        <w:t>第</w:t>
      </w:r>
      <w:r>
        <w:rPr>
          <w:rStyle w:val="29"/>
          <w:rFonts w:hint="eastAsia" w:ascii="黑体" w:hAnsi="黑体" w:eastAsia="黑体" w:cs="黑体"/>
          <w:b w:val="0"/>
          <w:bCs w:val="0"/>
          <w:color w:val="333333"/>
          <w:sz w:val="32"/>
          <w:szCs w:val="32"/>
          <w:u w:val="none"/>
          <w:lang w:val="en-US" w:eastAsia="zh-CN"/>
        </w:rPr>
        <w:t>七</w:t>
      </w:r>
      <w:r>
        <w:rPr>
          <w:rStyle w:val="29"/>
          <w:rFonts w:hint="eastAsia" w:ascii="黑体" w:hAnsi="黑体" w:eastAsia="黑体" w:cs="黑体"/>
          <w:b w:val="0"/>
          <w:bCs w:val="0"/>
          <w:color w:val="333333"/>
          <w:sz w:val="32"/>
          <w:szCs w:val="32"/>
          <w:u w:val="none"/>
        </w:rPr>
        <w:t>章 附 则</w:t>
      </w:r>
    </w:p>
    <w:p w14:paraId="3D167DBC">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firstLine="640" w:firstLineChars="200"/>
        <w:jc w:val="both"/>
        <w:textAlignment w:val="auto"/>
        <w:rPr>
          <w:rFonts w:ascii="仿宋_GB2312" w:hAnsi="微软雅黑" w:eastAsia="仿宋_GB2312"/>
          <w:color w:val="333333"/>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本办法由省科技厅负责解释。</w:t>
      </w:r>
    </w:p>
    <w:p w14:paraId="1C64B21C">
      <w:pPr>
        <w:pStyle w:val="23"/>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580" w:lineRule="exact"/>
        <w:ind w:left="0" w:leftChars="0" w:firstLine="640" w:firstLineChars="200"/>
        <w:jc w:val="both"/>
        <w:textAlignment w:val="auto"/>
        <w:rPr>
          <w:rFonts w:ascii="仿宋_GB2312" w:hAnsi="微软雅黑" w:eastAsia="仿宋_GB2312"/>
          <w:color w:val="333333"/>
          <w:sz w:val="32"/>
          <w:szCs w:val="32"/>
          <w:highlight w:val="none"/>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二十四</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本办法自</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年</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月</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日起施行，有效期至</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年</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月</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日，</w:t>
      </w:r>
      <w:r>
        <w:rPr>
          <w:rFonts w:hint="default" w:ascii="Times New Roman" w:hAnsi="Times New Roman" w:eastAsia="仿宋_GB2312" w:cs="Times New Roman"/>
          <w:sz w:val="32"/>
          <w:szCs w:val="32"/>
          <w:highlight w:val="none"/>
        </w:rPr>
        <w:t>原《山东省技术转移人才培养基地</w:t>
      </w:r>
      <w:r>
        <w:rPr>
          <w:rFonts w:hint="default" w:ascii="Times New Roman" w:hAnsi="Times New Roman" w:eastAsia="仿宋_GB2312" w:cs="Times New Roman"/>
          <w:sz w:val="32"/>
          <w:szCs w:val="32"/>
          <w:highlight w:val="none"/>
          <w:lang w:val="en-US" w:eastAsia="zh-CN"/>
        </w:rPr>
        <w:t>管理办法</w:t>
      </w:r>
      <w:r>
        <w:rPr>
          <w:rFonts w:hint="default" w:ascii="Times New Roman" w:hAnsi="Times New Roman" w:eastAsia="仿宋_GB2312" w:cs="Times New Roman"/>
          <w:sz w:val="32"/>
          <w:szCs w:val="32"/>
          <w:highlight w:val="none"/>
        </w:rPr>
        <w:t>》(鲁科字〔2022〕150号)同时废止。</w:t>
      </w:r>
    </w:p>
    <w:p w14:paraId="29DE92E2">
      <w:pPr>
        <w:pStyle w:val="26"/>
        <w:spacing w:after="0" w:afterLines="0" w:line="580" w:lineRule="exact"/>
        <w:ind w:left="0" w:leftChars="0" w:firstLine="0" w:firstLineChars="0"/>
        <w:jc w:val="both"/>
        <w:rPr>
          <w:rFonts w:hint="eastAsia" w:ascii="黑体" w:hAnsi="黑体" w:eastAsia="黑体" w:cs="黑体"/>
          <w:sz w:val="32"/>
          <w:szCs w:val="32"/>
        </w:rPr>
      </w:pPr>
    </w:p>
    <w:p w14:paraId="70487BF0">
      <w:pPr>
        <w:spacing w:after="0" w:afterLines="0" w:line="580" w:lineRule="exact"/>
        <w:jc w:val="both"/>
        <w:rPr>
          <w:rFonts w:hint="eastAsia" w:ascii="方正小标宋简体" w:hAnsi="方正小标宋简体" w:eastAsia="方正小标宋简体" w:cs="方正小标宋简体"/>
          <w:sz w:val="44"/>
          <w:szCs w:val="36"/>
        </w:rPr>
      </w:pPr>
    </w:p>
    <w:p w14:paraId="4D84AC66">
      <w:pPr>
        <w:spacing w:after="0" w:afterLines="0" w:line="580" w:lineRule="exact"/>
        <w:jc w:val="both"/>
        <w:rPr>
          <w:rFonts w:hint="eastAsia" w:ascii="方正小标宋简体" w:hAnsi="方正小标宋简体" w:eastAsia="方正小标宋简体" w:cs="方正小标宋简体"/>
          <w:sz w:val="44"/>
          <w:szCs w:val="36"/>
        </w:rPr>
      </w:pPr>
    </w:p>
    <w:p w14:paraId="59220720">
      <w:pPr>
        <w:spacing w:after="0" w:afterLines="0" w:line="580" w:lineRule="exact"/>
        <w:jc w:val="both"/>
        <w:rPr>
          <w:rFonts w:hint="eastAsia" w:ascii="方正小标宋简体" w:hAnsi="方正小标宋简体" w:eastAsia="方正小标宋简体" w:cs="方正小标宋简体"/>
          <w:sz w:val="44"/>
          <w:szCs w:val="36"/>
        </w:rPr>
      </w:pPr>
    </w:p>
    <w:p w14:paraId="2E6ED20B">
      <w:pPr>
        <w:spacing w:after="0" w:afterLines="0" w:line="580" w:lineRule="exact"/>
        <w:jc w:val="both"/>
        <w:rPr>
          <w:rFonts w:hint="eastAsia" w:ascii="方正小标宋简体" w:hAnsi="方正小标宋简体" w:eastAsia="方正小标宋简体" w:cs="方正小标宋简体"/>
          <w:sz w:val="44"/>
          <w:szCs w:val="36"/>
        </w:rPr>
      </w:pPr>
    </w:p>
    <w:p w14:paraId="1F151049">
      <w:pPr>
        <w:spacing w:after="0" w:afterLines="0" w:line="580" w:lineRule="exact"/>
        <w:jc w:val="both"/>
        <w:rPr>
          <w:rFonts w:hint="eastAsia" w:ascii="方正小标宋简体" w:hAnsi="方正小标宋简体" w:eastAsia="方正小标宋简体" w:cs="方正小标宋简体"/>
          <w:sz w:val="44"/>
          <w:szCs w:val="36"/>
        </w:rPr>
      </w:pPr>
    </w:p>
    <w:p w14:paraId="1D8112F5">
      <w:pPr>
        <w:spacing w:after="0" w:afterLines="0" w:line="580" w:lineRule="exact"/>
        <w:jc w:val="both"/>
      </w:pP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70DCF"/>
    <w:multiLevelType w:val="multilevel"/>
    <w:tmpl w:val="3E270DCF"/>
    <w:lvl w:ilvl="0" w:tentative="0">
      <w:start w:val="1"/>
      <w:numFmt w:val="decimal"/>
      <w:pStyle w:val="2"/>
      <w:suff w:val="space"/>
      <w:lvlText w:val="%1."/>
      <w:lvlJc w:val="left"/>
      <w:pPr>
        <w:ind w:left="0" w:leftChars="0" w:firstLine="0" w:firstLineChars="0"/>
      </w:pPr>
      <w:rPr>
        <w:rFonts w:hint="default" w:ascii="微软雅黑" w:hAnsi="微软雅黑" w:eastAsia="微软雅黑"/>
      </w:rPr>
    </w:lvl>
    <w:lvl w:ilvl="1" w:tentative="0">
      <w:start w:val="1"/>
      <w:numFmt w:val="decimal"/>
      <w:pStyle w:val="3"/>
      <w:suff w:val="space"/>
      <w:lvlText w:val="%1.%2."/>
      <w:lvlJc w:val="left"/>
      <w:pPr>
        <w:ind w:left="0" w:leftChars="0" w:firstLine="0" w:firstLineChars="0"/>
      </w:pPr>
      <w:rPr>
        <w:rFonts w:hint="default" w:ascii="微软雅黑" w:hAnsi="微软雅黑" w:eastAsia="微软雅黑"/>
      </w:rPr>
    </w:lvl>
    <w:lvl w:ilvl="2" w:tentative="0">
      <w:start w:val="1"/>
      <w:numFmt w:val="decimal"/>
      <w:pStyle w:val="4"/>
      <w:suff w:val="space"/>
      <w:lvlText w:val="%1.%2.%3."/>
      <w:lvlJc w:val="left"/>
      <w:pPr>
        <w:ind w:left="0" w:leftChars="0" w:firstLine="0" w:firstLineChars="0"/>
      </w:pPr>
      <w:rPr>
        <w:rFonts w:hint="default" w:ascii="微软雅黑" w:hAnsi="微软雅黑" w:eastAsia="微软雅黑"/>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8"/>
      <w:suff w:val="space"/>
      <w:lvlText w:val="%1.%2.%3.%4.%5.%6."/>
      <w:lvlJc w:val="left"/>
      <w:pPr>
        <w:ind w:left="0" w:leftChars="0" w:firstLine="0" w:firstLineChars="0"/>
      </w:pPr>
      <w:rPr>
        <w:rFonts w:hint="default"/>
      </w:rPr>
    </w:lvl>
    <w:lvl w:ilvl="6" w:tentative="0">
      <w:start w:val="1"/>
      <w:numFmt w:val="decimal"/>
      <w:pStyle w:val="9"/>
      <w:lvlText w:val="%1.%2.%3.%4.%5.%6.%7."/>
      <w:lvlJc w:val="left"/>
      <w:pPr>
        <w:tabs>
          <w:tab w:val="left" w:pos="0"/>
        </w:tabs>
        <w:ind w:left="0" w:leftChars="0" w:firstLine="0" w:firstLineChars="0"/>
      </w:pPr>
      <w:rPr>
        <w:rFonts w:hint="default"/>
      </w:rPr>
    </w:lvl>
    <w:lvl w:ilvl="7" w:tentative="0">
      <w:start w:val="1"/>
      <w:numFmt w:val="decimal"/>
      <w:pStyle w:val="10"/>
      <w:suff w:val="space"/>
      <w:lvlText w:val="%1.%2.%3.%4.%5.%6.%7.%8."/>
      <w:lvlJc w:val="left"/>
      <w:pPr>
        <w:ind w:left="0" w:leftChars="0" w:firstLine="0" w:firstLineChars="0"/>
      </w:pPr>
      <w:rPr>
        <w:rFonts w:hint="default"/>
      </w:rPr>
    </w:lvl>
    <w:lvl w:ilvl="8" w:tentative="0">
      <w:start w:val="1"/>
      <w:numFmt w:val="decimal"/>
      <w:pStyle w:val="11"/>
      <w:lvlText w:val="%1.%2.%3.%4.%5.%6.%7.%8.%9."/>
      <w:lvlJc w:val="left"/>
      <w:pPr>
        <w:tabs>
          <w:tab w:val="left" w:pos="0"/>
        </w:tabs>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NDcxZDZjNzExN2Q3OWM2ZGZkNDMzNTY0YzQ2MjAifQ=="/>
  </w:docVars>
  <w:rsids>
    <w:rsidRoot w:val="22122A30"/>
    <w:rsid w:val="00A43989"/>
    <w:rsid w:val="00C12DE3"/>
    <w:rsid w:val="00DD5E1E"/>
    <w:rsid w:val="025B2DC4"/>
    <w:rsid w:val="038A1BB2"/>
    <w:rsid w:val="049D5915"/>
    <w:rsid w:val="05DD1F63"/>
    <w:rsid w:val="0820258B"/>
    <w:rsid w:val="08630AB1"/>
    <w:rsid w:val="08FF7E1C"/>
    <w:rsid w:val="098826F0"/>
    <w:rsid w:val="0E77246F"/>
    <w:rsid w:val="0FDA1211"/>
    <w:rsid w:val="10165512"/>
    <w:rsid w:val="104355C3"/>
    <w:rsid w:val="132D60B6"/>
    <w:rsid w:val="1333549D"/>
    <w:rsid w:val="15B036FB"/>
    <w:rsid w:val="16F72C63"/>
    <w:rsid w:val="18365FD0"/>
    <w:rsid w:val="192A76EB"/>
    <w:rsid w:val="19DD0836"/>
    <w:rsid w:val="1B3A3A66"/>
    <w:rsid w:val="1C6D20FE"/>
    <w:rsid w:val="1D9C27B6"/>
    <w:rsid w:val="1E4569AA"/>
    <w:rsid w:val="214073D3"/>
    <w:rsid w:val="215238B8"/>
    <w:rsid w:val="21A954A2"/>
    <w:rsid w:val="21C17EF6"/>
    <w:rsid w:val="21F16E8E"/>
    <w:rsid w:val="21F72D73"/>
    <w:rsid w:val="22122A30"/>
    <w:rsid w:val="221943D6"/>
    <w:rsid w:val="223B0A6E"/>
    <w:rsid w:val="23F73FAA"/>
    <w:rsid w:val="241D57C3"/>
    <w:rsid w:val="242239E6"/>
    <w:rsid w:val="25FA62CC"/>
    <w:rsid w:val="263E440B"/>
    <w:rsid w:val="27EF3330"/>
    <w:rsid w:val="29657F00"/>
    <w:rsid w:val="29AF73CD"/>
    <w:rsid w:val="2B573C92"/>
    <w:rsid w:val="2CAD4098"/>
    <w:rsid w:val="2D510EC7"/>
    <w:rsid w:val="302B7DBA"/>
    <w:rsid w:val="30852462"/>
    <w:rsid w:val="316D5A4E"/>
    <w:rsid w:val="317E24A7"/>
    <w:rsid w:val="33010C9A"/>
    <w:rsid w:val="330B7D6A"/>
    <w:rsid w:val="33A52141"/>
    <w:rsid w:val="33AB6E58"/>
    <w:rsid w:val="33C61EE3"/>
    <w:rsid w:val="33D95773"/>
    <w:rsid w:val="35E6061B"/>
    <w:rsid w:val="364315C9"/>
    <w:rsid w:val="37FB5F35"/>
    <w:rsid w:val="38372745"/>
    <w:rsid w:val="3A12378C"/>
    <w:rsid w:val="3B2F331B"/>
    <w:rsid w:val="3B5B1163"/>
    <w:rsid w:val="3BA174BE"/>
    <w:rsid w:val="3C8D359E"/>
    <w:rsid w:val="3D1D48D7"/>
    <w:rsid w:val="3D3A1978"/>
    <w:rsid w:val="3E737CF8"/>
    <w:rsid w:val="3F221A4C"/>
    <w:rsid w:val="3F731171"/>
    <w:rsid w:val="40A86BF9"/>
    <w:rsid w:val="42601CEF"/>
    <w:rsid w:val="430B5AB0"/>
    <w:rsid w:val="44E82B3F"/>
    <w:rsid w:val="44F435FD"/>
    <w:rsid w:val="4527694A"/>
    <w:rsid w:val="454B2248"/>
    <w:rsid w:val="457F1EF2"/>
    <w:rsid w:val="46252A99"/>
    <w:rsid w:val="4832149E"/>
    <w:rsid w:val="48FA7F79"/>
    <w:rsid w:val="4A001853"/>
    <w:rsid w:val="4AC72371"/>
    <w:rsid w:val="4B1A06F3"/>
    <w:rsid w:val="4CA961D2"/>
    <w:rsid w:val="4EC15C1A"/>
    <w:rsid w:val="4F035942"/>
    <w:rsid w:val="4FAC106B"/>
    <w:rsid w:val="50C23D07"/>
    <w:rsid w:val="51B07C98"/>
    <w:rsid w:val="530323B4"/>
    <w:rsid w:val="53281E1B"/>
    <w:rsid w:val="540208BE"/>
    <w:rsid w:val="54BA6AA3"/>
    <w:rsid w:val="54FC70BB"/>
    <w:rsid w:val="55821CB6"/>
    <w:rsid w:val="55AD20B3"/>
    <w:rsid w:val="564C5BC5"/>
    <w:rsid w:val="572E0865"/>
    <w:rsid w:val="58E93DFA"/>
    <w:rsid w:val="59101387"/>
    <w:rsid w:val="59814033"/>
    <w:rsid w:val="5A5676CA"/>
    <w:rsid w:val="5ABD109B"/>
    <w:rsid w:val="5B363F0D"/>
    <w:rsid w:val="5B7F45A2"/>
    <w:rsid w:val="5BA52381"/>
    <w:rsid w:val="5BB75372"/>
    <w:rsid w:val="5D613110"/>
    <w:rsid w:val="5E0606ED"/>
    <w:rsid w:val="5EB56C59"/>
    <w:rsid w:val="5F0D0D5C"/>
    <w:rsid w:val="60217D48"/>
    <w:rsid w:val="604364E6"/>
    <w:rsid w:val="606A3A73"/>
    <w:rsid w:val="627E3805"/>
    <w:rsid w:val="630006BE"/>
    <w:rsid w:val="643D4C6E"/>
    <w:rsid w:val="656479B7"/>
    <w:rsid w:val="656E5DB3"/>
    <w:rsid w:val="676C6E71"/>
    <w:rsid w:val="688651C2"/>
    <w:rsid w:val="688D2F0B"/>
    <w:rsid w:val="68FA00B9"/>
    <w:rsid w:val="699E02E9"/>
    <w:rsid w:val="6A86594D"/>
    <w:rsid w:val="6AF33D87"/>
    <w:rsid w:val="6B381289"/>
    <w:rsid w:val="6C007E94"/>
    <w:rsid w:val="6D4318D5"/>
    <w:rsid w:val="70514307"/>
    <w:rsid w:val="70551AFC"/>
    <w:rsid w:val="70C8281B"/>
    <w:rsid w:val="71D64AC4"/>
    <w:rsid w:val="729356D6"/>
    <w:rsid w:val="735760D9"/>
    <w:rsid w:val="751D0C5C"/>
    <w:rsid w:val="77BD2CD5"/>
    <w:rsid w:val="79222CE5"/>
    <w:rsid w:val="797753D7"/>
    <w:rsid w:val="79C93160"/>
    <w:rsid w:val="79F24465"/>
    <w:rsid w:val="7A546ECE"/>
    <w:rsid w:val="7ADB314B"/>
    <w:rsid w:val="7B492AB4"/>
    <w:rsid w:val="7C683105"/>
    <w:rsid w:val="7C863776"/>
    <w:rsid w:val="7DC4436B"/>
    <w:rsid w:val="7E0155BF"/>
    <w:rsid w:val="7E90249F"/>
    <w:rsid w:val="7F0569E9"/>
    <w:rsid w:val="7F075DA6"/>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eastAsia="微软雅黑" w:asciiTheme="minorAscii" w:hAnsiTheme="minorAscii" w:cstheme="minorBidi"/>
      <w:snapToGrid/>
      <w:kern w:val="2"/>
      <w:sz w:val="21"/>
      <w:szCs w:val="24"/>
      <w:lang w:val="en-US" w:eastAsia="zh-CN" w:bidi="ar-SA"/>
    </w:rPr>
  </w:style>
  <w:style w:type="paragraph" w:styleId="2">
    <w:name w:val="heading 1"/>
    <w:next w:val="1"/>
    <w:qFormat/>
    <w:uiPriority w:val="9"/>
    <w:pPr>
      <w:keepNext/>
      <w:keepLines/>
      <w:numPr>
        <w:ilvl w:val="0"/>
        <w:numId w:val="1"/>
      </w:numPr>
      <w:tabs>
        <w:tab w:val="left" w:pos="0"/>
      </w:tabs>
      <w:adjustRightInd w:val="0"/>
      <w:snapToGrid w:val="0"/>
      <w:spacing w:before="50" w:beforeLines="50" w:after="20" w:afterLines="20" w:line="288" w:lineRule="auto"/>
      <w:ind w:left="0" w:firstLine="0"/>
      <w:outlineLvl w:val="0"/>
    </w:pPr>
    <w:rPr>
      <w:rFonts w:ascii="微软雅黑" w:hAnsi="微软雅黑" w:eastAsia="微软雅黑" w:cstheme="minorBidi"/>
      <w:b/>
      <w:bCs/>
      <w:kern w:val="44"/>
      <w:sz w:val="36"/>
      <w:szCs w:val="36"/>
    </w:rPr>
  </w:style>
  <w:style w:type="paragraph" w:styleId="3">
    <w:name w:val="heading 2"/>
    <w:next w:val="1"/>
    <w:unhideWhenUsed/>
    <w:qFormat/>
    <w:uiPriority w:val="9"/>
    <w:pPr>
      <w:numPr>
        <w:ilvl w:val="1"/>
        <w:numId w:val="1"/>
      </w:numPr>
      <w:tabs>
        <w:tab w:val="left" w:pos="0"/>
      </w:tabs>
      <w:adjustRightInd w:val="0"/>
      <w:snapToGrid w:val="0"/>
      <w:spacing w:before="50" w:beforeLines="50" w:after="20" w:afterLines="20" w:line="288" w:lineRule="auto"/>
      <w:ind w:left="0" w:firstLine="0"/>
      <w:outlineLvl w:val="1"/>
    </w:pPr>
    <w:rPr>
      <w:rFonts w:ascii="微软雅黑" w:hAnsi="微软雅黑" w:eastAsia="微软雅黑" w:cstheme="minorBidi"/>
      <w:b/>
      <w:bCs/>
      <w:kern w:val="2"/>
      <w:sz w:val="32"/>
      <w:szCs w:val="32"/>
    </w:rPr>
  </w:style>
  <w:style w:type="paragraph" w:styleId="4">
    <w:name w:val="heading 3"/>
    <w:next w:val="1"/>
    <w:unhideWhenUsed/>
    <w:qFormat/>
    <w:uiPriority w:val="9"/>
    <w:pPr>
      <w:numPr>
        <w:ilvl w:val="2"/>
        <w:numId w:val="1"/>
      </w:numPr>
      <w:tabs>
        <w:tab w:val="left" w:pos="0"/>
        <w:tab w:val="left" w:pos="312"/>
      </w:tabs>
      <w:adjustRightInd w:val="0"/>
      <w:snapToGrid w:val="0"/>
      <w:spacing w:before="50" w:beforeLines="50" w:after="20" w:afterLines="20" w:line="288" w:lineRule="auto"/>
      <w:ind w:left="0" w:firstLine="0"/>
      <w:outlineLvl w:val="2"/>
    </w:pPr>
    <w:rPr>
      <w:rFonts w:ascii="微软雅黑" w:hAnsi="微软雅黑" w:eastAsia="微软雅黑" w:cstheme="minorBidi"/>
      <w:b/>
      <w:kern w:val="2"/>
      <w:sz w:val="30"/>
      <w:szCs w:val="30"/>
    </w:rPr>
  </w:style>
  <w:style w:type="paragraph" w:styleId="5">
    <w:name w:val="heading 4"/>
    <w:next w:val="1"/>
    <w:unhideWhenUsed/>
    <w:qFormat/>
    <w:uiPriority w:val="9"/>
    <w:pPr>
      <w:numPr>
        <w:ilvl w:val="3"/>
        <w:numId w:val="1"/>
      </w:numPr>
      <w:tabs>
        <w:tab w:val="left" w:pos="0"/>
      </w:tabs>
      <w:adjustRightInd w:val="0"/>
      <w:snapToGrid w:val="0"/>
      <w:spacing w:before="50" w:beforeLines="50" w:after="20" w:afterLines="20" w:line="288" w:lineRule="auto"/>
      <w:ind w:left="0" w:firstLine="0"/>
      <w:outlineLvl w:val="3"/>
    </w:pPr>
    <w:rPr>
      <w:rFonts w:ascii="微软雅黑" w:hAnsi="微软雅黑" w:eastAsia="微软雅黑" w:cstheme="minorBidi"/>
      <w:b/>
      <w:bCs/>
      <w:sz w:val="28"/>
      <w:szCs w:val="28"/>
    </w:rPr>
  </w:style>
  <w:style w:type="paragraph" w:styleId="6">
    <w:name w:val="heading 5"/>
    <w:basedOn w:val="1"/>
    <w:next w:val="7"/>
    <w:unhideWhenUsed/>
    <w:qFormat/>
    <w:uiPriority w:val="9"/>
    <w:pPr>
      <w:numPr>
        <w:ilvl w:val="4"/>
        <w:numId w:val="1"/>
      </w:numPr>
      <w:tabs>
        <w:tab w:val="left" w:pos="312"/>
      </w:tabs>
      <w:spacing w:before="50" w:beforeLines="50" w:after="20" w:afterLines="20"/>
      <w:ind w:left="0" w:firstLine="0"/>
      <w:jc w:val="left"/>
      <w:outlineLvl w:val="4"/>
    </w:pPr>
    <w:rPr>
      <w:rFonts w:ascii="Arial" w:hAnsi="Arial"/>
      <w:b/>
      <w:sz w:val="24"/>
      <w:szCs w:val="22"/>
    </w:rPr>
  </w:style>
  <w:style w:type="paragraph" w:styleId="8">
    <w:name w:val="heading 6"/>
    <w:basedOn w:val="1"/>
    <w:next w:val="7"/>
    <w:unhideWhenUsed/>
    <w:qFormat/>
    <w:uiPriority w:val="0"/>
    <w:pPr>
      <w:numPr>
        <w:ilvl w:val="5"/>
        <w:numId w:val="1"/>
      </w:numPr>
      <w:tabs>
        <w:tab w:val="left" w:pos="0"/>
      </w:tabs>
      <w:spacing w:before="50" w:beforeLines="50" w:after="20" w:afterLines="20" w:line="288" w:lineRule="auto"/>
      <w:ind w:left="0" w:firstLine="0"/>
      <w:outlineLvl w:val="5"/>
    </w:pPr>
    <w:rPr>
      <w:rFonts w:ascii="微软雅黑" w:hAnsi="微软雅黑"/>
      <w:b/>
      <w:bCs/>
      <w:sz w:val="24"/>
    </w:rPr>
  </w:style>
  <w:style w:type="paragraph" w:styleId="9">
    <w:name w:val="heading 7"/>
    <w:basedOn w:val="1"/>
    <w:next w:val="7"/>
    <w:unhideWhenUsed/>
    <w:qFormat/>
    <w:uiPriority w:val="0"/>
    <w:pPr>
      <w:numPr>
        <w:ilvl w:val="6"/>
        <w:numId w:val="1"/>
      </w:numPr>
      <w:spacing w:before="50" w:beforeLines="50" w:after="20" w:afterLines="20" w:line="288" w:lineRule="auto"/>
      <w:ind w:left="0" w:firstLine="0"/>
      <w:jc w:val="left"/>
      <w:outlineLvl w:val="6"/>
    </w:pPr>
    <w:rPr>
      <w:rFonts w:ascii="微软雅黑" w:hAnsi="微软雅黑"/>
      <w:b/>
      <w:bCs/>
      <w:sz w:val="24"/>
    </w:rPr>
  </w:style>
  <w:style w:type="paragraph" w:styleId="10">
    <w:name w:val="heading 8"/>
    <w:basedOn w:val="1"/>
    <w:next w:val="7"/>
    <w:unhideWhenUsed/>
    <w:qFormat/>
    <w:uiPriority w:val="0"/>
    <w:pPr>
      <w:numPr>
        <w:ilvl w:val="7"/>
        <w:numId w:val="1"/>
      </w:numPr>
      <w:tabs>
        <w:tab w:val="left" w:pos="0"/>
      </w:tabs>
      <w:spacing w:before="50" w:beforeLines="50" w:after="20" w:afterLines="20" w:line="288" w:lineRule="auto"/>
      <w:ind w:left="0" w:firstLine="0"/>
      <w:outlineLvl w:val="7"/>
    </w:pPr>
    <w:rPr>
      <w:rFonts w:ascii="微软雅黑" w:hAnsi="微软雅黑" w:cstheme="majorBidi"/>
      <w:b/>
      <w:bCs/>
      <w:sz w:val="24"/>
    </w:rPr>
  </w:style>
  <w:style w:type="paragraph" w:styleId="11">
    <w:name w:val="heading 9"/>
    <w:basedOn w:val="1"/>
    <w:next w:val="7"/>
    <w:unhideWhenUsed/>
    <w:qFormat/>
    <w:uiPriority w:val="0"/>
    <w:pPr>
      <w:numPr>
        <w:ilvl w:val="8"/>
        <w:numId w:val="1"/>
      </w:numPr>
      <w:spacing w:before="50" w:beforeLines="50" w:after="20" w:afterLines="20" w:line="288" w:lineRule="auto"/>
      <w:ind w:left="0" w:firstLine="0"/>
      <w:outlineLvl w:val="8"/>
    </w:pPr>
    <w:rPr>
      <w:rFonts w:ascii="微软雅黑" w:hAnsi="微软雅黑" w:cstheme="majorBidi"/>
      <w:b/>
      <w:bCs/>
      <w:sz w:val="24"/>
      <w:szCs w:val="24"/>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20" w:afterLines="20" w:afterAutospacing="0" w:line="288" w:lineRule="auto"/>
      <w:ind w:firstLine="0" w:firstLineChars="0"/>
    </w:pPr>
    <w:rPr>
      <w:rFonts w:ascii="微软雅黑" w:hAnsi="微软雅黑"/>
      <w:szCs w:val="21"/>
    </w:rPr>
  </w:style>
  <w:style w:type="paragraph" w:styleId="12">
    <w:name w:val="caption"/>
    <w:basedOn w:val="1"/>
    <w:next w:val="1"/>
    <w:unhideWhenUsed/>
    <w:qFormat/>
    <w:uiPriority w:val="0"/>
    <w:pPr>
      <w:ind w:firstLine="0" w:firstLineChars="0"/>
    </w:pPr>
    <w:rPr>
      <w:rFonts w:ascii="微软雅黑" w:hAnsi="微软雅黑" w:cs="Times New Roman"/>
      <w:sz w:val="20"/>
      <w:szCs w:val="20"/>
    </w:rPr>
  </w:style>
  <w:style w:type="paragraph" w:styleId="13">
    <w:name w:val="annotation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4">
    <w:name w:val="Salutation"/>
    <w:basedOn w:val="1"/>
    <w:next w:val="1"/>
    <w:qFormat/>
    <w:uiPriority w:val="0"/>
    <w:pPr>
      <w:ind w:firstLine="0" w:firstLineChars="0"/>
    </w:pPr>
    <w:rPr>
      <w:rFonts w:ascii="微软雅黑" w:hAnsi="微软雅黑"/>
      <w:szCs w:val="21"/>
    </w:rPr>
  </w:style>
  <w:style w:type="paragraph" w:styleId="15">
    <w:name w:val="Date"/>
    <w:basedOn w:val="1"/>
    <w:next w:val="1"/>
    <w:qFormat/>
    <w:uiPriority w:val="0"/>
    <w:pPr>
      <w:ind w:firstLine="0" w:firstLineChars="0"/>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6">
    <w:name w:val="endnote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7">
    <w:name w:val="Balloon Text"/>
    <w:basedOn w:val="1"/>
    <w:qFormat/>
    <w:uiPriority w:val="0"/>
    <w:rPr>
      <w:rFonts w:ascii="微软雅黑" w:hAnsi="微软雅黑"/>
      <w:sz w:val="18"/>
      <w:szCs w:val="18"/>
    </w:rPr>
  </w:style>
  <w:style w:type="paragraph" w:styleId="18">
    <w:name w:val="footer"/>
    <w:basedOn w:val="1"/>
    <w:qFormat/>
    <w:uiPriority w:val="0"/>
    <w:pPr>
      <w:tabs>
        <w:tab w:val="center" w:pos="4153"/>
        <w:tab w:val="right" w:pos="8306"/>
      </w:tabs>
      <w:ind w:firstLine="0" w:firstLineChars="0"/>
      <w:jc w:val="left"/>
    </w:pPr>
    <w:rPr>
      <w:rFonts w:ascii="微软雅黑" w:hAnsi="微软雅黑"/>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rFonts w:ascii="微软雅黑" w:hAnsi="微软雅黑"/>
      <w:sz w:val="18"/>
      <w:szCs w:val="18"/>
    </w:rPr>
  </w:style>
  <w:style w:type="paragraph" w:styleId="20">
    <w:name w:val="Signature"/>
    <w:basedOn w:val="1"/>
    <w:qFormat/>
    <w:uiPriority w:val="0"/>
    <w:pPr>
      <w:ind w:firstLine="0" w:firstLineChars="0"/>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21">
    <w:name w:val="Subtitle"/>
    <w:basedOn w:val="1"/>
    <w:next w:val="7"/>
    <w:qFormat/>
    <w:uiPriority w:val="0"/>
    <w:pPr>
      <w:spacing w:beforeLines="0" w:beforeAutospacing="0" w:after="100" w:afterLines="100" w:afterAutospacing="0" w:line="240" w:lineRule="auto"/>
      <w:jc w:val="center"/>
      <w:outlineLvl w:val="9"/>
    </w:pPr>
    <w:rPr>
      <w:rFonts w:ascii="微软雅黑" w:hAnsi="微软雅黑"/>
      <w:b/>
      <w:bCs/>
      <w:kern w:val="28"/>
      <w:sz w:val="36"/>
      <w:szCs w:val="36"/>
    </w:rPr>
  </w:style>
  <w:style w:type="paragraph" w:styleId="22">
    <w:name w:val="footnote text"/>
    <w:basedOn w:val="1"/>
    <w:qFormat/>
    <w:uiPriority w:val="0"/>
    <w:pPr>
      <w:jc w:val="left"/>
    </w:pPr>
    <w:rPr>
      <w:rFonts w:ascii="微软雅黑" w:hAnsi="微软雅黑" w:eastAsia="微软雅黑"/>
      <w:sz w:val="24"/>
    </w:rPr>
  </w:style>
  <w:style w:type="paragraph" w:styleId="23">
    <w:name w:val="Normal (Web)"/>
    <w:basedOn w:val="1"/>
    <w:qFormat/>
    <w:uiPriority w:val="0"/>
    <w:rPr>
      <w:rFonts w:ascii="微软雅黑" w:hAnsi="微软雅黑"/>
      <w:sz w:val="24"/>
    </w:rPr>
  </w:style>
  <w:style w:type="paragraph" w:styleId="24">
    <w:name w:val="Title"/>
    <w:basedOn w:val="1"/>
    <w:qFormat/>
    <w:uiPriority w:val="10"/>
    <w:pPr>
      <w:spacing w:after="100" w:afterLines="100" w:line="288" w:lineRule="auto"/>
      <w:jc w:val="center"/>
      <w:outlineLvl w:val="9"/>
    </w:pPr>
    <w:rPr>
      <w:rFonts w:ascii="微软雅黑" w:hAnsi="微软雅黑"/>
      <w:b/>
      <w:bCs/>
      <w:sz w:val="48"/>
      <w:szCs w:val="48"/>
    </w:rPr>
  </w:style>
  <w:style w:type="paragraph" w:styleId="25">
    <w:name w:val="annotation subject"/>
    <w:basedOn w:val="13"/>
    <w:next w:val="13"/>
    <w:qFormat/>
    <w:uiPriority w:val="0"/>
    <w:rPr>
      <w:b/>
      <w:bCs/>
    </w:rPr>
  </w:style>
  <w:style w:type="paragraph" w:styleId="26">
    <w:name w:val="Body Text First Indent"/>
    <w:basedOn w:val="7"/>
    <w:qFormat/>
    <w:uiPriority w:val="0"/>
    <w:pPr>
      <w:ind w:firstLine="420" w:firstLineChars="100"/>
    </w:pPr>
    <w:rPr>
      <w:rFonts w:ascii="Times New Roman" w:hAnsi="Times New Roman"/>
    </w:rPr>
  </w:style>
  <w:style w:type="character" w:styleId="29">
    <w:name w:val="Strong"/>
    <w:basedOn w:val="28"/>
    <w:qFormat/>
    <w:uiPriority w:val="22"/>
    <w:rPr>
      <w:rFonts w:ascii="微软雅黑" w:hAnsi="微软雅黑" w:eastAsia="微软雅黑"/>
      <w:b/>
      <w:color w:val="auto"/>
      <w:u w:val="single"/>
    </w:rPr>
  </w:style>
  <w:style w:type="character" w:styleId="30">
    <w:name w:val="endnote reference"/>
    <w:basedOn w:val="28"/>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styleId="31">
    <w:name w:val="page number"/>
    <w:qFormat/>
    <w:uiPriority w:val="0"/>
    <w:rPr>
      <w:rFonts w:ascii="微软雅黑" w:hAnsi="微软雅黑" w:eastAsia="微软雅黑" w:cs="Times New Roman"/>
      <w:color w:val="262626" w:themeColor="text1" w:themeTint="D9"/>
      <w:spacing w:val="-6"/>
      <w:kern w:val="2"/>
      <w:sz w:val="21"/>
      <w:szCs w:val="21"/>
      <w:lang w:val="en-US" w:eastAsia="zh-CN" w:bidi="ar-SA"/>
      <w14:textFill>
        <w14:solidFill>
          <w14:schemeClr w14:val="tx1">
            <w14:lumMod w14:val="85000"/>
            <w14:lumOff w14:val="15000"/>
          </w14:schemeClr>
        </w14:solidFill>
      </w14:textFill>
    </w:rPr>
  </w:style>
  <w:style w:type="character" w:styleId="32">
    <w:name w:val="FollowedHyperlink"/>
    <w:basedOn w:val="28"/>
    <w:qFormat/>
    <w:uiPriority w:val="0"/>
    <w:rPr>
      <w:rFonts w:ascii="微软雅黑" w:hAnsi="微软雅黑" w:eastAsia="微软雅黑" w:cs="Times New Roman"/>
      <w:color w:val="800080"/>
      <w:spacing w:val="-6"/>
      <w:kern w:val="2"/>
      <w:sz w:val="24"/>
      <w:szCs w:val="24"/>
      <w:u w:val="single"/>
      <w:lang w:val="en-US" w:eastAsia="zh-CN" w:bidi="ar-SA"/>
    </w:rPr>
  </w:style>
  <w:style w:type="character" w:styleId="33">
    <w:name w:val="Emphasis"/>
    <w:basedOn w:val="28"/>
    <w:qFormat/>
    <w:uiPriority w:val="20"/>
    <w:rPr>
      <w:rFonts w:ascii="Arial" w:hAnsi="Arial" w:eastAsia="微软雅黑"/>
      <w:b/>
      <w:bCs/>
      <w:i/>
      <w:color w:val="auto"/>
      <w:sz w:val="24"/>
      <w:szCs w:val="22"/>
    </w:rPr>
  </w:style>
  <w:style w:type="character" w:styleId="34">
    <w:name w:val="Hyperlink"/>
    <w:basedOn w:val="28"/>
    <w:qFormat/>
    <w:uiPriority w:val="0"/>
    <w:rPr>
      <w:rFonts w:ascii="微软雅黑" w:hAnsi="微软雅黑" w:eastAsia="微软雅黑" w:cs="Times New Roman"/>
      <w:caps/>
      <w:color w:val="0000FF"/>
      <w:spacing w:val="-6"/>
      <w:kern w:val="2"/>
      <w:sz w:val="24"/>
      <w:szCs w:val="24"/>
      <w:u w:val="single"/>
      <w:lang w:val="en-US" w:eastAsia="zh-CN" w:bidi="ar-SA"/>
    </w:rPr>
  </w:style>
  <w:style w:type="character" w:styleId="35">
    <w:name w:val="annotation reference"/>
    <w:basedOn w:val="28"/>
    <w:qFormat/>
    <w:uiPriority w:val="0"/>
    <w:rPr>
      <w:rFonts w:ascii="微软雅黑" w:hAnsi="微软雅黑" w:eastAsia="微软雅黑"/>
      <w:color w:val="262626" w:themeColor="text1" w:themeTint="D9"/>
      <w:sz w:val="21"/>
      <w:szCs w:val="21"/>
      <w14:textFill>
        <w14:solidFill>
          <w14:schemeClr w14:val="tx1">
            <w14:lumMod w14:val="85000"/>
            <w14:lumOff w14:val="15000"/>
          </w14:schemeClr>
        </w14:solidFill>
      </w14:textFill>
    </w:rPr>
  </w:style>
  <w:style w:type="character" w:styleId="36">
    <w:name w:val="footnote reference"/>
    <w:basedOn w:val="28"/>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paragraph" w:customStyle="1" w:styleId="37">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文档说明标题"/>
    <w:basedOn w:val="1"/>
    <w:next w:val="1"/>
    <w:qFormat/>
    <w:uiPriority w:val="0"/>
    <w:pPr>
      <w:spacing w:after="100" w:afterLines="100" w:line="240" w:lineRule="auto"/>
      <w:ind w:firstLine="0" w:firstLineChars="0"/>
      <w:jc w:val="center"/>
      <w:outlineLvl w:val="9"/>
    </w:pPr>
    <w:rPr>
      <w:rFonts w:ascii="微软雅黑" w:hAnsi="微软雅黑"/>
      <w:b/>
      <w:bCs/>
      <w:sz w:val="48"/>
      <w:szCs w:val="48"/>
      <w:lang w:eastAsia="zh-Hans"/>
    </w:rPr>
  </w:style>
  <w:style w:type="paragraph" w:customStyle="1" w:styleId="40">
    <w:name w:val="附录标题"/>
    <w:next w:val="7"/>
    <w:qFormat/>
    <w:uiPriority w:val="0"/>
    <w:pPr>
      <w:tabs>
        <w:tab w:val="left" w:pos="0"/>
      </w:tabs>
      <w:bidi w:val="0"/>
      <w:adjustRightInd w:val="0"/>
      <w:snapToGrid w:val="0"/>
      <w:spacing w:after="100" w:afterLines="100" w:line="240" w:lineRule="auto"/>
      <w:jc w:val="center"/>
    </w:pPr>
    <w:rPr>
      <w:rFonts w:ascii="微软雅黑" w:hAnsi="微软雅黑" w:eastAsia="微软雅黑" w:cstheme="minorBidi"/>
      <w:b/>
      <w:bCs/>
      <w:snapToGrid/>
      <w:kern w:val="28"/>
      <w:sz w:val="44"/>
      <w:szCs w:val="44"/>
      <w:lang w:val="en-US" w:eastAsia="zh-CN" w:bidi="ar-SA"/>
    </w:rPr>
  </w:style>
  <w:style w:type="paragraph" w:customStyle="1" w:styleId="41">
    <w:name w:val="章标题"/>
    <w:basedOn w:val="1"/>
    <w:next w:val="1"/>
    <w:qFormat/>
    <w:uiPriority w:val="0"/>
    <w:pPr>
      <w:spacing w:beforeLines="0" w:after="100" w:afterLines="100" w:line="240" w:lineRule="auto"/>
      <w:jc w:val="center"/>
      <w:outlineLvl w:val="0"/>
    </w:pPr>
    <w:rPr>
      <w:rFonts w:hint="eastAsia" w:ascii="微软雅黑" w:hAnsi="微软雅黑"/>
      <w:b/>
      <w:bCs/>
      <w:kern w:val="28"/>
      <w:sz w:val="44"/>
      <w:szCs w:val="44"/>
    </w:rPr>
  </w:style>
  <w:style w:type="paragraph" w:customStyle="1" w:styleId="42">
    <w:name w:val="节标题"/>
    <w:basedOn w:val="1"/>
    <w:next w:val="1"/>
    <w:qFormat/>
    <w:uiPriority w:val="0"/>
    <w:pPr>
      <w:spacing w:beforeLines="0" w:after="100" w:afterLines="100" w:line="240" w:lineRule="auto"/>
      <w:jc w:val="center"/>
      <w:outlineLvl w:val="0"/>
    </w:pPr>
    <w:rPr>
      <w:rFonts w:hint="eastAsia" w:ascii="微软雅黑" w:hAnsi="微软雅黑"/>
      <w:b/>
      <w:bCs/>
      <w:kern w:val="28"/>
      <w:sz w:val="36"/>
      <w:szCs w:val="36"/>
    </w:rPr>
  </w:style>
  <w:style w:type="character" w:customStyle="1" w:styleId="43">
    <w:name w:val="摘要"/>
    <w:basedOn w:val="28"/>
    <w:qFormat/>
    <w:uiPriority w:val="0"/>
    <w:rPr>
      <w:rFonts w:hint="eastAsia" w:ascii="Arial" w:hAnsi="Arial"/>
      <w:b/>
      <w:lang w:val="en-US" w:eastAsia="zh-CN"/>
    </w:rPr>
  </w:style>
  <w:style w:type="character" w:customStyle="1" w:styleId="44">
    <w:name w:val="关键词"/>
    <w:basedOn w:val="28"/>
    <w:qFormat/>
    <w:uiPriority w:val="0"/>
    <w:rPr>
      <w:rFonts w:hint="eastAsia" w:ascii="Arial" w:hAnsi="Arial"/>
      <w:b/>
      <w:lang w:val="en-US" w:eastAsia="zh-CN"/>
    </w:rPr>
  </w:style>
  <w:style w:type="paragraph" w:customStyle="1" w:styleId="45">
    <w:name w:val="题注1"/>
    <w:basedOn w:val="1"/>
    <w:qFormat/>
    <w:uiPriority w:val="0"/>
    <w:pPr>
      <w:jc w:val="center"/>
    </w:pPr>
    <w:rPr>
      <w:rFonts w:hint="eastAsia" w:ascii="微软雅黑" w:hAnsi="微软雅黑"/>
      <w:sz w:val="20"/>
      <w:szCs w:val="20"/>
    </w:rPr>
  </w:style>
  <w:style w:type="paragraph" w:customStyle="1" w:styleId="46">
    <w:name w:val="主送对象"/>
    <w:next w:val="7"/>
    <w:qFormat/>
    <w:uiPriority w:val="0"/>
    <w:pPr>
      <w:bidi w:val="0"/>
      <w:adjustRightInd w:val="0"/>
      <w:snapToGrid w:val="0"/>
      <w:spacing w:line="288" w:lineRule="auto"/>
    </w:pPr>
    <w:rPr>
      <w:rFonts w:ascii="微软雅黑" w:hAnsi="微软雅黑" w:eastAsia="微软雅黑" w:cs="Times New Roman"/>
      <w:color w:val="262626" w:themeColor="text1" w:themeTint="D9"/>
      <w:sz w:val="24"/>
      <w:szCs w:val="24"/>
      <w:lang w:val="en-US" w:eastAsia="zh-CN" w:bidi="ar-SA"/>
      <w14:textFill>
        <w14:solidFill>
          <w14:schemeClr w14:val="tx1">
            <w14:lumMod w14:val="85000"/>
            <w14:lumOff w14:val="15000"/>
          </w14:schemeClr>
        </w14:solidFill>
      </w14:textFill>
    </w:rPr>
  </w:style>
  <w:style w:type="paragraph" w:customStyle="1" w:styleId="47">
    <w:name w:val="目录标题"/>
    <w:basedOn w:val="1"/>
    <w:qFormat/>
    <w:uiPriority w:val="0"/>
    <w:pPr>
      <w:spacing w:before="0" w:beforeLines="0" w:afterLines="0" w:line="240" w:lineRule="auto"/>
      <w:ind w:firstLine="0" w:firstLineChars="0"/>
      <w:jc w:val="center"/>
    </w:pPr>
    <w:rPr>
      <w:rFonts w:ascii="微软雅黑" w:hAnsi="微软雅黑" w:eastAsia="微软雅黑"/>
      <w:b/>
      <w:sz w:val="28"/>
      <w:szCs w:val="28"/>
    </w:rPr>
  </w:style>
  <w:style w:type="paragraph" w:customStyle="1" w:styleId="48">
    <w:name w:val="致谢标题"/>
    <w:qFormat/>
    <w:uiPriority w:val="0"/>
    <w:pPr>
      <w:bidi w:val="0"/>
      <w:adjustRightInd w:val="0"/>
      <w:snapToGrid w:val="0"/>
      <w:spacing w:beforeLines="0" w:after="100" w:afterLines="100" w:line="240" w:lineRule="auto"/>
      <w:jc w:val="center"/>
      <w:outlineLvl w:val="0"/>
    </w:pPr>
    <w:rPr>
      <w:rFonts w:ascii="微软雅黑" w:hAnsi="微软雅黑" w:eastAsia="微软雅黑" w:cstheme="minorBidi"/>
      <w:b/>
      <w:bCs/>
      <w:snapToGrid/>
      <w:kern w:val="28"/>
      <w:sz w:val="44"/>
      <w:szCs w:val="44"/>
      <w:lang w:val="en-US" w:eastAsia="zh-CN" w:bidi="ar-SA"/>
    </w:rPr>
  </w:style>
  <w:style w:type="paragraph" w:customStyle="1" w:styleId="49">
    <w:name w:val="声明标题"/>
    <w:next w:val="7"/>
    <w:qFormat/>
    <w:uiPriority w:val="0"/>
    <w:pPr>
      <w:bidi w:val="0"/>
      <w:adjustRightInd w:val="0"/>
      <w:snapToGrid w:val="0"/>
      <w:spacing w:after="100" w:afterLines="100"/>
      <w:jc w:val="center"/>
    </w:pPr>
    <w:rPr>
      <w:rFonts w:ascii="微软雅黑" w:hAnsi="微软雅黑" w:eastAsia="微软雅黑" w:cstheme="minorBidi"/>
      <w:b/>
      <w:bCs/>
      <w:snapToGrid/>
      <w:kern w:val="28"/>
      <w:sz w:val="44"/>
      <w:szCs w:val="44"/>
      <w:lang w:val="en-US" w:eastAsia="zh-CN" w:bidi="ar-SA"/>
    </w:rPr>
  </w:style>
  <w:style w:type="paragraph" w:customStyle="1" w:styleId="50">
    <w:name w:val="参考文献标题"/>
    <w:link w:val="51"/>
    <w:qFormat/>
    <w:uiPriority w:val="0"/>
    <w:pPr>
      <w:bidi w:val="0"/>
      <w:adjustRightInd w:val="0"/>
      <w:snapToGrid w:val="0"/>
      <w:spacing w:after="100" w:afterLines="100"/>
      <w:jc w:val="center"/>
    </w:pPr>
    <w:rPr>
      <w:rFonts w:ascii="微软雅黑" w:hAnsi="微软雅黑" w:eastAsia="微软雅黑" w:cstheme="minorBidi"/>
      <w:b/>
      <w:bCs/>
      <w:sz w:val="44"/>
      <w:szCs w:val="44"/>
      <w:lang w:val="en-US" w:eastAsia="zh-CN"/>
    </w:rPr>
  </w:style>
  <w:style w:type="character" w:customStyle="1" w:styleId="51">
    <w:name w:val="参考文献标题 Char"/>
    <w:link w:val="50"/>
    <w:qFormat/>
    <w:uiPriority w:val="0"/>
    <w:rPr>
      <w:rFonts w:ascii="微软雅黑" w:hAnsi="微软雅黑" w:eastAsia="微软雅黑" w:cstheme="minorBidi"/>
      <w:b/>
      <w:bCs/>
      <w:sz w:val="44"/>
      <w:szCs w:val="4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山东省科技厅</Company>
  <Pages>6</Pages>
  <Words>2264</Words>
  <Characters>2282</Characters>
  <Lines>0</Lines>
  <Paragraphs>0</Paragraphs>
  <TotalTime>1</TotalTime>
  <ScaleCrop>false</ScaleCrop>
  <LinksUpToDate>false</LinksUpToDate>
  <CharactersWithSpaces>2358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2022-11-14T02:05:00Z</dcterms:created>
  <dc:creator>HPuser</dc:creator>
  <cp:lastModifiedBy>Cc果冻儿</cp:lastModifiedBy>
  <cp:lastPrinted>2022-11-17T04:06:00Z</cp:lastPrinted>
  <dcterms:modified xsi:type="dcterms:W3CDTF">2025-12-09T10:45:04Z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BB3846DE2B7C4345A320E6C2AAC0795E</vt:lpwstr>
  </property>
  <property fmtid="{D5CDD505-2E9C-101B-9397-08002B2CF9AE}" pid="4" name="KSOTemplateDocerSaveRecord">
    <vt:lpwstr>eyJoZGlkIjoiNDI4ZWViYzlmZjllZjUwNDRjNjgzYTAwMGVmYmVkYmYiLCJ1c2VySWQiOiIzODg4NDczOTUifQ==</vt:lpwstr>
  </property>
</Properties>
</file>