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山东省技术转移人才培养基地绩效评价指标</w:t>
      </w:r>
    </w:p>
    <w:bookmarkEnd w:id="0"/>
    <w:p>
      <w:pPr>
        <w:spacing w:line="580" w:lineRule="exact"/>
        <w:jc w:val="both"/>
        <w:rPr>
          <w:rFonts w:ascii="方正小标宋简体" w:hAnsi="方正小标宋简体" w:eastAsia="方正小标宋简体" w:cs="方正小标宋简体"/>
          <w:sz w:val="10"/>
          <w:szCs w:val="10"/>
        </w:rPr>
      </w:pPr>
    </w:p>
    <w:tbl>
      <w:tblPr>
        <w:tblStyle w:val="4"/>
        <w:tblW w:w="103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927"/>
        <w:gridCol w:w="2758"/>
        <w:gridCol w:w="4956"/>
        <w:gridCol w:w="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tblHeader/>
          <w:jc w:val="center"/>
        </w:trPr>
        <w:tc>
          <w:tcPr>
            <w:tcW w:w="905" w:type="dxa"/>
            <w:noWrap w:val="0"/>
            <w:vAlign w:val="center"/>
          </w:tcPr>
          <w:p>
            <w:pPr>
              <w:adjustRightInd w:val="0"/>
              <w:spacing w:line="440" w:lineRule="exact"/>
              <w:jc w:val="both"/>
              <w:rPr>
                <w:rFonts w:ascii="Times New Roman" w:hAnsi="Times New Roman" w:eastAsia="黑体" w:cs="Times New Roman"/>
                <w:sz w:val="28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30"/>
              </w:rPr>
              <w:t>一级指标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adjustRightInd w:val="0"/>
              <w:spacing w:line="440" w:lineRule="exact"/>
              <w:jc w:val="both"/>
              <w:rPr>
                <w:rFonts w:ascii="Times New Roman" w:hAnsi="Times New Roman" w:eastAsia="黑体" w:cs="Times New Roman"/>
                <w:sz w:val="28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30"/>
              </w:rPr>
              <w:t>分数</w:t>
            </w:r>
          </w:p>
        </w:tc>
        <w:tc>
          <w:tcPr>
            <w:tcW w:w="2758" w:type="dxa"/>
            <w:noWrap w:val="0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Times New Roman" w:hAnsi="Times New Roman" w:eastAsia="黑体" w:cs="Times New Roman"/>
                <w:sz w:val="28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30"/>
              </w:rPr>
              <w:t>二级指标</w:t>
            </w:r>
          </w:p>
        </w:tc>
        <w:tc>
          <w:tcPr>
            <w:tcW w:w="4956" w:type="dxa"/>
            <w:noWrap w:val="0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Times New Roman" w:hAnsi="Times New Roman" w:eastAsia="黑体" w:cs="Times New Roman"/>
                <w:sz w:val="28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30"/>
              </w:rPr>
              <w:t>评分说明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Times New Roman" w:hAnsi="Times New Roman" w:eastAsia="黑体" w:cs="Times New Roman"/>
                <w:sz w:val="28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30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vMerge w:val="restart"/>
            <w:noWrap w:val="0"/>
            <w:vAlign w:val="center"/>
          </w:tcPr>
          <w:p>
            <w:pPr>
              <w:adjustRightInd w:val="0"/>
              <w:spacing w:line="440" w:lineRule="exact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配套</w:t>
            </w:r>
          </w:p>
          <w:p>
            <w:pPr>
              <w:adjustRightInd w:val="0"/>
              <w:spacing w:line="440" w:lineRule="exact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建设</w:t>
            </w:r>
          </w:p>
        </w:tc>
        <w:tc>
          <w:tcPr>
            <w:tcW w:w="927" w:type="dxa"/>
            <w:vMerge w:val="restart"/>
            <w:noWrap w:val="0"/>
            <w:vAlign w:val="center"/>
          </w:tcPr>
          <w:p>
            <w:pPr>
              <w:adjustRightInd w:val="0"/>
              <w:spacing w:line="440" w:lineRule="exact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20分</w:t>
            </w:r>
          </w:p>
        </w:tc>
        <w:tc>
          <w:tcPr>
            <w:tcW w:w="2758" w:type="dxa"/>
            <w:noWrap w:val="0"/>
            <w:vAlign w:val="center"/>
          </w:tcPr>
          <w:p>
            <w:pPr>
              <w:adjustRightInd w:val="0"/>
              <w:spacing w:line="440" w:lineRule="exact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内部规章、管理制度等配套情况</w:t>
            </w:r>
          </w:p>
        </w:tc>
        <w:tc>
          <w:tcPr>
            <w:tcW w:w="4956" w:type="dxa"/>
            <w:noWrap w:val="0"/>
            <w:vAlign w:val="center"/>
          </w:tcPr>
          <w:p>
            <w:pPr>
              <w:adjustRightInd w:val="0"/>
              <w:spacing w:line="440" w:lineRule="exact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制度健全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工作机制完善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情况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。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905" w:type="dxa"/>
            <w:vMerge w:val="continue"/>
            <w:noWrap w:val="0"/>
            <w:vAlign w:val="center"/>
          </w:tcPr>
          <w:p>
            <w:pPr>
              <w:adjustRightInd w:val="0"/>
              <w:spacing w:line="440" w:lineRule="exact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27" w:type="dxa"/>
            <w:vMerge w:val="continue"/>
            <w:noWrap w:val="0"/>
            <w:vAlign w:val="center"/>
          </w:tcPr>
          <w:p>
            <w:pPr>
              <w:adjustRightInd w:val="0"/>
              <w:spacing w:line="440" w:lineRule="exact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58" w:type="dxa"/>
            <w:noWrap w:val="0"/>
            <w:vAlign w:val="center"/>
          </w:tcPr>
          <w:p>
            <w:pPr>
              <w:adjustRightInd w:val="0"/>
              <w:spacing w:line="440" w:lineRule="exact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场地设施及教学设备等配备情况</w:t>
            </w:r>
          </w:p>
        </w:tc>
        <w:tc>
          <w:tcPr>
            <w:tcW w:w="4956" w:type="dxa"/>
            <w:noWrap w:val="0"/>
            <w:vAlign w:val="center"/>
          </w:tcPr>
          <w:p>
            <w:pPr>
              <w:adjustRightInd w:val="0"/>
              <w:spacing w:line="440" w:lineRule="exact"/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拥有与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技术转移培训相配备的场地设施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教学设备情况</w:t>
            </w: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905" w:type="dxa"/>
            <w:vMerge w:val="continue"/>
            <w:noWrap w:val="0"/>
            <w:vAlign w:val="center"/>
          </w:tcPr>
          <w:p>
            <w:pPr>
              <w:adjustRightInd w:val="0"/>
              <w:spacing w:line="440" w:lineRule="exact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27" w:type="dxa"/>
            <w:vMerge w:val="continue"/>
            <w:noWrap w:val="0"/>
            <w:vAlign w:val="center"/>
          </w:tcPr>
          <w:p>
            <w:pPr>
              <w:adjustRightInd w:val="0"/>
              <w:spacing w:line="440" w:lineRule="exact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58" w:type="dxa"/>
            <w:noWrap w:val="0"/>
            <w:vAlign w:val="center"/>
          </w:tcPr>
          <w:p>
            <w:pPr>
              <w:adjustRightInd w:val="0"/>
              <w:spacing w:line="440" w:lineRule="exact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技术转移人才培训师资情况</w:t>
            </w:r>
          </w:p>
        </w:tc>
        <w:tc>
          <w:tcPr>
            <w:tcW w:w="4956" w:type="dxa"/>
            <w:noWrap w:val="0"/>
            <w:vAlign w:val="center"/>
          </w:tcPr>
          <w:p>
            <w:pPr>
              <w:adjustRightInd w:val="0"/>
              <w:spacing w:line="440" w:lineRule="exact"/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组建相对固定、专业化、高层次的师资团队以及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团队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在技术转移理论与实务方面的水平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情况</w:t>
            </w: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905" w:type="dxa"/>
            <w:vMerge w:val="continue"/>
            <w:noWrap w:val="0"/>
            <w:vAlign w:val="center"/>
          </w:tcPr>
          <w:p>
            <w:pPr>
              <w:adjustRightInd w:val="0"/>
              <w:spacing w:line="440" w:lineRule="exact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27" w:type="dxa"/>
            <w:vMerge w:val="continue"/>
            <w:noWrap w:val="0"/>
            <w:vAlign w:val="center"/>
          </w:tcPr>
          <w:p>
            <w:pPr>
              <w:adjustRightInd w:val="0"/>
              <w:spacing w:line="440" w:lineRule="exact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58" w:type="dxa"/>
            <w:noWrap w:val="0"/>
            <w:vAlign w:val="center"/>
          </w:tcPr>
          <w:p>
            <w:pPr>
              <w:adjustRightInd w:val="0"/>
              <w:spacing w:line="440" w:lineRule="exact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技术转移人才培训教材情况</w:t>
            </w:r>
          </w:p>
        </w:tc>
        <w:tc>
          <w:tcPr>
            <w:tcW w:w="4956" w:type="dxa"/>
            <w:noWrap w:val="0"/>
            <w:vAlign w:val="center"/>
          </w:tcPr>
          <w:p>
            <w:pPr>
              <w:adjustRightInd w:val="0"/>
              <w:spacing w:line="440" w:lineRule="exact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根据《国家技术转移专业人员能力等级培训大纲（试行）》</w:t>
            </w: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有针对性地编制培训讲义及培训教材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情况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。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905" w:type="dxa"/>
            <w:vMerge w:val="continue"/>
            <w:noWrap w:val="0"/>
            <w:vAlign w:val="center"/>
          </w:tcPr>
          <w:p>
            <w:pPr>
              <w:adjustRightInd w:val="0"/>
              <w:spacing w:line="440" w:lineRule="exact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27" w:type="dxa"/>
            <w:vMerge w:val="continue"/>
            <w:noWrap w:val="0"/>
            <w:vAlign w:val="center"/>
          </w:tcPr>
          <w:p>
            <w:pPr>
              <w:adjustRightInd w:val="0"/>
              <w:spacing w:line="440" w:lineRule="exact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58" w:type="dxa"/>
            <w:noWrap w:val="0"/>
            <w:vAlign w:val="center"/>
          </w:tcPr>
          <w:p>
            <w:pPr>
              <w:adjustRightInd w:val="0"/>
              <w:spacing w:line="440" w:lineRule="exact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专职工作人员情况</w:t>
            </w:r>
          </w:p>
        </w:tc>
        <w:tc>
          <w:tcPr>
            <w:tcW w:w="4956" w:type="dxa"/>
            <w:noWrap w:val="0"/>
            <w:vAlign w:val="center"/>
          </w:tcPr>
          <w:p>
            <w:pPr>
              <w:adjustRightInd w:val="0"/>
              <w:spacing w:line="440" w:lineRule="exact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培训专职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人员专班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情况，包括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专职工作人员数量情况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熟悉相关法规政策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情况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。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  <w:jc w:val="center"/>
        </w:trPr>
        <w:tc>
          <w:tcPr>
            <w:tcW w:w="905" w:type="dxa"/>
            <w:vMerge w:val="restart"/>
            <w:noWrap w:val="0"/>
            <w:vAlign w:val="center"/>
          </w:tcPr>
          <w:p>
            <w:pPr>
              <w:adjustRightInd w:val="0"/>
              <w:spacing w:line="440" w:lineRule="exact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培训</w:t>
            </w:r>
          </w:p>
          <w:p>
            <w:pPr>
              <w:adjustRightInd w:val="0"/>
              <w:spacing w:line="440" w:lineRule="exact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组织</w:t>
            </w:r>
          </w:p>
        </w:tc>
        <w:tc>
          <w:tcPr>
            <w:tcW w:w="927" w:type="dxa"/>
            <w:vMerge w:val="restart"/>
            <w:noWrap w:val="0"/>
            <w:vAlign w:val="center"/>
          </w:tcPr>
          <w:p>
            <w:pPr>
              <w:adjustRightInd w:val="0"/>
              <w:spacing w:line="440" w:lineRule="exact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40分</w:t>
            </w:r>
          </w:p>
        </w:tc>
        <w:tc>
          <w:tcPr>
            <w:tcW w:w="2758" w:type="dxa"/>
            <w:noWrap w:val="0"/>
            <w:vAlign w:val="center"/>
          </w:tcPr>
          <w:p>
            <w:pPr>
              <w:adjustRightInd w:val="0"/>
              <w:spacing w:line="440" w:lineRule="exact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培训计划制定及落实情况</w:t>
            </w:r>
          </w:p>
        </w:tc>
        <w:tc>
          <w:tcPr>
            <w:tcW w:w="4956" w:type="dxa"/>
            <w:noWrap w:val="0"/>
            <w:vAlign w:val="center"/>
          </w:tcPr>
          <w:p>
            <w:pPr>
              <w:adjustRightInd w:val="0"/>
              <w:spacing w:line="440" w:lineRule="exact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制定年度培训计划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以及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落实大纲要求的课程设置、学时安排、考核和评教方式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等情况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。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05" w:type="dxa"/>
            <w:vMerge w:val="continue"/>
            <w:noWrap w:val="0"/>
            <w:vAlign w:val="center"/>
          </w:tcPr>
          <w:p>
            <w:pPr>
              <w:adjustRightInd w:val="0"/>
              <w:spacing w:line="440" w:lineRule="exact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27" w:type="dxa"/>
            <w:vMerge w:val="continue"/>
            <w:noWrap w:val="0"/>
            <w:vAlign w:val="center"/>
          </w:tcPr>
          <w:p>
            <w:pPr>
              <w:adjustRightInd w:val="0"/>
              <w:spacing w:line="440" w:lineRule="exact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58" w:type="dxa"/>
            <w:noWrap w:val="0"/>
            <w:vAlign w:val="center"/>
          </w:tcPr>
          <w:p>
            <w:pPr>
              <w:adjustRightInd w:val="0"/>
              <w:spacing w:line="440" w:lineRule="exact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培训人次、场次完成情况</w:t>
            </w:r>
          </w:p>
        </w:tc>
        <w:tc>
          <w:tcPr>
            <w:tcW w:w="4956" w:type="dxa"/>
            <w:noWrap w:val="0"/>
            <w:vAlign w:val="center"/>
          </w:tcPr>
          <w:p>
            <w:pPr>
              <w:adjustRightInd w:val="0"/>
              <w:spacing w:line="440" w:lineRule="exact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年度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计划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明确的培训任务人次、场次目标完成情况。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905" w:type="dxa"/>
            <w:vMerge w:val="continue"/>
            <w:noWrap w:val="0"/>
            <w:vAlign w:val="center"/>
          </w:tcPr>
          <w:p>
            <w:pPr>
              <w:adjustRightInd w:val="0"/>
              <w:spacing w:line="440" w:lineRule="exact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27" w:type="dxa"/>
            <w:vMerge w:val="continue"/>
            <w:noWrap w:val="0"/>
            <w:vAlign w:val="center"/>
          </w:tcPr>
          <w:p>
            <w:pPr>
              <w:adjustRightInd w:val="0"/>
              <w:spacing w:line="440" w:lineRule="exact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58" w:type="dxa"/>
            <w:noWrap w:val="0"/>
            <w:vAlign w:val="center"/>
          </w:tcPr>
          <w:p>
            <w:pPr>
              <w:adjustRightInd w:val="0"/>
              <w:spacing w:line="440" w:lineRule="exact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开展合作情况</w:t>
            </w:r>
          </w:p>
        </w:tc>
        <w:tc>
          <w:tcPr>
            <w:tcW w:w="4956" w:type="dxa"/>
            <w:noWrap w:val="0"/>
            <w:vAlign w:val="center"/>
          </w:tcPr>
          <w:p>
            <w:pPr>
              <w:adjustRightInd w:val="0"/>
              <w:spacing w:line="440" w:lineRule="exact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与高校院所、企业、技术转移服务机构以及新型研发机构之间，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实现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资源共享、证书互认、人才共用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情况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。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vMerge w:val="continue"/>
            <w:noWrap w:val="0"/>
            <w:vAlign w:val="center"/>
          </w:tcPr>
          <w:p>
            <w:pPr>
              <w:adjustRightInd w:val="0"/>
              <w:spacing w:line="440" w:lineRule="exact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27" w:type="dxa"/>
            <w:vMerge w:val="continue"/>
            <w:noWrap w:val="0"/>
            <w:vAlign w:val="center"/>
          </w:tcPr>
          <w:p>
            <w:pPr>
              <w:adjustRightInd w:val="0"/>
              <w:spacing w:line="440" w:lineRule="exact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58" w:type="dxa"/>
            <w:noWrap w:val="0"/>
            <w:vAlign w:val="center"/>
          </w:tcPr>
          <w:p>
            <w:pPr>
              <w:adjustRightInd w:val="0"/>
              <w:spacing w:line="440" w:lineRule="exact"/>
              <w:jc w:val="both"/>
              <w:rPr>
                <w:rFonts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受训人员反馈培训情况</w:t>
            </w:r>
          </w:p>
        </w:tc>
        <w:tc>
          <w:tcPr>
            <w:tcW w:w="4956" w:type="dxa"/>
            <w:noWrap w:val="0"/>
            <w:vAlign w:val="center"/>
          </w:tcPr>
          <w:p>
            <w:pPr>
              <w:adjustRightInd w:val="0"/>
              <w:spacing w:line="440" w:lineRule="exact"/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受培训人员满意度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情况</w:t>
            </w: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vMerge w:val="continue"/>
            <w:noWrap w:val="0"/>
            <w:vAlign w:val="center"/>
          </w:tcPr>
          <w:p>
            <w:pPr>
              <w:adjustRightInd w:val="0"/>
              <w:spacing w:line="440" w:lineRule="exact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27" w:type="dxa"/>
            <w:vMerge w:val="continue"/>
            <w:noWrap w:val="0"/>
            <w:vAlign w:val="center"/>
          </w:tcPr>
          <w:p>
            <w:pPr>
              <w:adjustRightInd w:val="0"/>
              <w:spacing w:line="440" w:lineRule="exact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58" w:type="dxa"/>
            <w:noWrap w:val="0"/>
            <w:vAlign w:val="center"/>
          </w:tcPr>
          <w:p>
            <w:pPr>
              <w:adjustRightInd w:val="0"/>
              <w:spacing w:line="440" w:lineRule="exact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培训经费使用管理情况</w:t>
            </w:r>
          </w:p>
        </w:tc>
        <w:tc>
          <w:tcPr>
            <w:tcW w:w="4956" w:type="dxa"/>
            <w:noWrap w:val="0"/>
            <w:vAlign w:val="center"/>
          </w:tcPr>
          <w:p>
            <w:pPr>
              <w:adjustRightInd w:val="0"/>
              <w:spacing w:line="440" w:lineRule="exact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收费来源合法合规</w:t>
            </w: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奖补资金使用管理规范</w:t>
            </w: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能够根据市场化运营形成自我造血能力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情况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。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905" w:type="dxa"/>
            <w:vMerge w:val="restart"/>
            <w:noWrap w:val="0"/>
            <w:vAlign w:val="center"/>
          </w:tcPr>
          <w:p>
            <w:pPr>
              <w:adjustRightInd w:val="0"/>
              <w:spacing w:line="440" w:lineRule="exact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培训绩效</w:t>
            </w:r>
          </w:p>
        </w:tc>
        <w:tc>
          <w:tcPr>
            <w:tcW w:w="927" w:type="dxa"/>
            <w:vMerge w:val="restart"/>
            <w:noWrap w:val="0"/>
            <w:vAlign w:val="center"/>
          </w:tcPr>
          <w:p>
            <w:pPr>
              <w:adjustRightInd w:val="0"/>
              <w:spacing w:line="440" w:lineRule="exact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30分</w:t>
            </w:r>
          </w:p>
        </w:tc>
        <w:tc>
          <w:tcPr>
            <w:tcW w:w="2758" w:type="dxa"/>
            <w:noWrap w:val="0"/>
            <w:vAlign w:val="center"/>
          </w:tcPr>
          <w:p>
            <w:pPr>
              <w:adjustRightInd w:val="0"/>
              <w:spacing w:line="440" w:lineRule="exact"/>
              <w:jc w:val="both"/>
              <w:rPr>
                <w:rFonts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受培训人员从业情况</w:t>
            </w:r>
          </w:p>
        </w:tc>
        <w:tc>
          <w:tcPr>
            <w:tcW w:w="4956" w:type="dxa"/>
            <w:noWrap w:val="0"/>
            <w:vAlign w:val="center"/>
          </w:tcPr>
          <w:p>
            <w:pPr>
              <w:adjustRightInd w:val="0"/>
              <w:spacing w:line="440" w:lineRule="exact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培训合格的人员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持续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从事技术转移工作，促进技术交易成效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情况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。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905" w:type="dxa"/>
            <w:vMerge w:val="continue"/>
            <w:noWrap w:val="0"/>
            <w:vAlign w:val="center"/>
          </w:tcPr>
          <w:p>
            <w:pPr>
              <w:adjustRightInd w:val="0"/>
              <w:spacing w:line="440" w:lineRule="exact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27" w:type="dxa"/>
            <w:vMerge w:val="continue"/>
            <w:noWrap w:val="0"/>
            <w:vAlign w:val="center"/>
          </w:tcPr>
          <w:p>
            <w:pPr>
              <w:adjustRightInd w:val="0"/>
              <w:spacing w:line="440" w:lineRule="exact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58" w:type="dxa"/>
            <w:noWrap w:val="0"/>
            <w:vAlign w:val="center"/>
          </w:tcPr>
          <w:p>
            <w:pPr>
              <w:adjustRightInd w:val="0"/>
              <w:spacing w:line="440" w:lineRule="exact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受培训人员培训后跟踪服务情况</w:t>
            </w:r>
          </w:p>
        </w:tc>
        <w:tc>
          <w:tcPr>
            <w:tcW w:w="4956" w:type="dxa"/>
            <w:noWrap w:val="0"/>
            <w:vAlign w:val="center"/>
          </w:tcPr>
          <w:p>
            <w:pPr>
              <w:adjustRightInd w:val="0"/>
              <w:spacing w:line="440" w:lineRule="exact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建立完善的受培训人员档案，培训后继续为受培训人员提供跟踪服务情况。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905" w:type="dxa"/>
            <w:vMerge w:val="continue"/>
            <w:noWrap w:val="0"/>
            <w:vAlign w:val="center"/>
          </w:tcPr>
          <w:p>
            <w:pPr>
              <w:adjustRightInd w:val="0"/>
              <w:spacing w:line="440" w:lineRule="exact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27" w:type="dxa"/>
            <w:vMerge w:val="continue"/>
            <w:noWrap w:val="0"/>
            <w:vAlign w:val="center"/>
          </w:tcPr>
          <w:p>
            <w:pPr>
              <w:adjustRightInd w:val="0"/>
              <w:spacing w:line="440" w:lineRule="exact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58" w:type="dxa"/>
            <w:noWrap w:val="0"/>
            <w:vAlign w:val="center"/>
          </w:tcPr>
          <w:p>
            <w:pPr>
              <w:adjustRightInd w:val="0"/>
              <w:spacing w:line="440" w:lineRule="exact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培训资源推广应用情况</w:t>
            </w:r>
          </w:p>
        </w:tc>
        <w:tc>
          <w:tcPr>
            <w:tcW w:w="4956" w:type="dxa"/>
            <w:noWrap w:val="0"/>
            <w:vAlign w:val="center"/>
          </w:tcPr>
          <w:p>
            <w:pPr>
              <w:adjustRightInd w:val="0"/>
              <w:spacing w:line="440" w:lineRule="exact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所编写培训教材被其他单位采纳应用，签约教师及精品课程服务于其他单位情况。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905" w:type="dxa"/>
            <w:vMerge w:val="restart"/>
            <w:noWrap w:val="0"/>
            <w:vAlign w:val="center"/>
          </w:tcPr>
          <w:p>
            <w:pPr>
              <w:adjustRightInd w:val="0"/>
              <w:spacing w:line="440" w:lineRule="exact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品牌</w:t>
            </w:r>
          </w:p>
          <w:p>
            <w:pPr>
              <w:adjustRightInd w:val="0"/>
              <w:spacing w:line="440" w:lineRule="exact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影响</w:t>
            </w:r>
          </w:p>
        </w:tc>
        <w:tc>
          <w:tcPr>
            <w:tcW w:w="927" w:type="dxa"/>
            <w:vMerge w:val="restart"/>
            <w:noWrap w:val="0"/>
            <w:vAlign w:val="center"/>
          </w:tcPr>
          <w:p>
            <w:pPr>
              <w:adjustRightInd w:val="0"/>
              <w:spacing w:line="440" w:lineRule="exact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10分</w:t>
            </w:r>
          </w:p>
          <w:p>
            <w:pPr>
              <w:adjustRightInd w:val="0"/>
              <w:spacing w:line="440" w:lineRule="exact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58" w:type="dxa"/>
            <w:noWrap w:val="0"/>
            <w:vAlign w:val="center"/>
          </w:tcPr>
          <w:p>
            <w:pPr>
              <w:adjustRightInd w:val="0"/>
              <w:spacing w:line="440" w:lineRule="exact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创新培训形式情况</w:t>
            </w:r>
          </w:p>
        </w:tc>
        <w:tc>
          <w:tcPr>
            <w:tcW w:w="4956" w:type="dxa"/>
            <w:noWrap w:val="0"/>
            <w:vAlign w:val="center"/>
          </w:tcPr>
          <w:p>
            <w:pPr>
              <w:adjustRightInd w:val="0"/>
              <w:spacing w:line="440" w:lineRule="exact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不断创新培训形式</w:t>
            </w: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提高培训精准化程度</w:t>
            </w: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探索运用访谈教学、论坛教学、行动学习等教学方法，提高培训有效性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情况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。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905" w:type="dxa"/>
            <w:vMerge w:val="continue"/>
            <w:noWrap w:val="0"/>
            <w:vAlign w:val="center"/>
          </w:tcPr>
          <w:p>
            <w:pPr>
              <w:adjustRightInd w:val="0"/>
              <w:spacing w:line="440" w:lineRule="exact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27" w:type="dxa"/>
            <w:vMerge w:val="continue"/>
            <w:noWrap w:val="0"/>
            <w:vAlign w:val="center"/>
          </w:tcPr>
          <w:p>
            <w:pPr>
              <w:adjustRightInd w:val="0"/>
              <w:spacing w:line="440" w:lineRule="exact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58" w:type="dxa"/>
            <w:noWrap w:val="0"/>
            <w:vAlign w:val="center"/>
          </w:tcPr>
          <w:p>
            <w:pPr>
              <w:adjustRightInd w:val="0"/>
              <w:spacing w:line="440" w:lineRule="exact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推广宣传及品牌效益</w:t>
            </w:r>
          </w:p>
        </w:tc>
        <w:tc>
          <w:tcPr>
            <w:tcW w:w="4956" w:type="dxa"/>
            <w:noWrap w:val="0"/>
            <w:vAlign w:val="center"/>
          </w:tcPr>
          <w:p>
            <w:pPr>
              <w:adjustRightInd w:val="0"/>
              <w:spacing w:line="440" w:lineRule="exact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形成先进经验并宣传推广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以及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品牌影响力情况。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19EB7A42"/>
    <w:rsid w:val="19EB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Times New Roman" w:hAnsi="Times New Roman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2022-11-18T02:23:00Z</dcterms:created>
  <dc:creator>86185</dc:creator>
  <cp:lastModifiedBy>86185</cp:lastModifiedBy>
  <dcterms:modified xsi:type="dcterms:W3CDTF">2022-11-18T02:23:58Z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557DA9020515453A9DBD163E9E3976CD</vt:lpwstr>
  </property>
</Properties>
</file>