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79" w:rsidRDefault="009F4054" w:rsidP="0083330B">
      <w:pPr>
        <w:adjustRightInd/>
        <w:snapToGrid/>
        <w:spacing w:after="0" w:line="580" w:lineRule="exact"/>
        <w:rPr>
          <w:rFonts w:ascii="黑体" w:eastAsia="黑体" w:hAnsi="黑体" w:hint="eastAsia"/>
          <w:spacing w:val="4"/>
          <w:sz w:val="28"/>
          <w:szCs w:val="28"/>
        </w:rPr>
      </w:pPr>
      <w:r w:rsidRPr="009D638F">
        <w:rPr>
          <w:rFonts w:ascii="黑体" w:eastAsia="黑体" w:hAnsi="黑体" w:hint="eastAsia"/>
          <w:spacing w:val="4"/>
          <w:sz w:val="28"/>
          <w:szCs w:val="28"/>
        </w:rPr>
        <w:t>附件</w:t>
      </w:r>
      <w:r w:rsidR="004669F0" w:rsidRPr="009D638F">
        <w:rPr>
          <w:rFonts w:ascii="黑体" w:eastAsia="黑体" w:hAnsi="黑体" w:hint="eastAsia"/>
          <w:spacing w:val="4"/>
          <w:sz w:val="28"/>
          <w:szCs w:val="28"/>
        </w:rPr>
        <w:t>3</w:t>
      </w:r>
    </w:p>
    <w:p w:rsidR="008155E6" w:rsidRPr="009D638F" w:rsidRDefault="008155E6" w:rsidP="0083330B">
      <w:pPr>
        <w:adjustRightInd/>
        <w:snapToGrid/>
        <w:spacing w:after="0" w:line="580" w:lineRule="exact"/>
        <w:rPr>
          <w:rFonts w:ascii="黑体" w:eastAsia="黑体" w:hAnsi="黑体"/>
          <w:spacing w:val="4"/>
          <w:sz w:val="28"/>
          <w:szCs w:val="28"/>
        </w:rPr>
      </w:pPr>
    </w:p>
    <w:p w:rsidR="00604579" w:rsidRPr="0083330B" w:rsidRDefault="00C02F5D" w:rsidP="0083330B">
      <w:pPr>
        <w:spacing w:line="580" w:lineRule="exact"/>
        <w:jc w:val="center"/>
        <w:rPr>
          <w:rFonts w:ascii="方正小标宋简体" w:eastAsia="方正小标宋简体" w:hAnsi="黑体"/>
          <w:spacing w:val="4"/>
          <w:sz w:val="44"/>
          <w:szCs w:val="44"/>
        </w:rPr>
      </w:pPr>
      <w:r>
        <w:rPr>
          <w:rFonts w:ascii="黑体" w:eastAsia="黑体" w:hAnsi="黑体" w:hint="eastAsia"/>
          <w:spacing w:val="4"/>
          <w:sz w:val="44"/>
          <w:szCs w:val="44"/>
        </w:rPr>
        <w:t xml:space="preserve">  </w:t>
      </w:r>
      <w:r w:rsidR="00D41CDE" w:rsidRPr="0083330B">
        <w:rPr>
          <w:rFonts w:ascii="方正小标宋简体" w:eastAsia="方正小标宋简体" w:hAnsi="黑体" w:hint="eastAsia"/>
          <w:spacing w:val="4"/>
          <w:sz w:val="44"/>
          <w:szCs w:val="44"/>
        </w:rPr>
        <w:t>可行性研究</w:t>
      </w:r>
      <w:r w:rsidRPr="0083330B">
        <w:rPr>
          <w:rFonts w:ascii="方正小标宋简体" w:eastAsia="方正小标宋简体" w:hAnsi="黑体" w:hint="eastAsia"/>
          <w:spacing w:val="4"/>
          <w:sz w:val="44"/>
          <w:szCs w:val="44"/>
        </w:rPr>
        <w:t>报告（增资扩股）</w:t>
      </w:r>
    </w:p>
    <w:p w:rsidR="00604579" w:rsidRDefault="00604579" w:rsidP="0083330B">
      <w:pPr>
        <w:pStyle w:val="1"/>
        <w:tabs>
          <w:tab w:val="right" w:leader="dot" w:pos="8306"/>
        </w:tabs>
        <w:spacing w:line="580" w:lineRule="exact"/>
      </w:pPr>
    </w:p>
    <w:p w:rsidR="00604579" w:rsidRDefault="00C02F5D" w:rsidP="0083330B">
      <w:pPr>
        <w:pStyle w:val="a9"/>
        <w:numPr>
          <w:ilvl w:val="0"/>
          <w:numId w:val="3"/>
        </w:numPr>
        <w:spacing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spacing w:val="4"/>
          <w:sz w:val="32"/>
          <w:szCs w:val="32"/>
        </w:rPr>
        <w:t>项目概述与背景</w:t>
      </w:r>
    </w:p>
    <w:p w:rsidR="00604579" w:rsidRPr="0083330B" w:rsidRDefault="00C02F5D" w:rsidP="0083330B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83330B">
        <w:rPr>
          <w:rFonts w:ascii="仿宋_GB2312" w:eastAsia="仿宋_GB2312" w:hAnsi="仿宋" w:cs="仿宋" w:hint="eastAsia"/>
          <w:sz w:val="32"/>
          <w:szCs w:val="32"/>
        </w:rPr>
        <w:t>是否是山东省泰山产业领军人才、泰山学者等</w:t>
      </w:r>
      <w:r w:rsidR="00E15CF3" w:rsidRPr="0083330B">
        <w:rPr>
          <w:rFonts w:ascii="仿宋_GB2312" w:eastAsia="仿宋_GB2312" w:hAnsi="仿宋" w:cs="仿宋" w:hint="eastAsia"/>
          <w:sz w:val="32"/>
          <w:szCs w:val="32"/>
        </w:rPr>
        <w:t>以上</w:t>
      </w:r>
      <w:r w:rsidRPr="0083330B">
        <w:rPr>
          <w:rFonts w:ascii="仿宋_GB2312" w:eastAsia="仿宋_GB2312" w:hAnsi="仿宋" w:cs="仿宋" w:hint="eastAsia"/>
          <w:sz w:val="32"/>
          <w:szCs w:val="32"/>
        </w:rPr>
        <w:t>高层次人才创办的企业。</w:t>
      </w:r>
    </w:p>
    <w:p w:rsidR="00604579" w:rsidRDefault="00A205B6" w:rsidP="0083330B">
      <w:pPr>
        <w:pStyle w:val="a9"/>
        <w:numPr>
          <w:ilvl w:val="0"/>
          <w:numId w:val="3"/>
        </w:numPr>
        <w:spacing w:beforeLines="50" w:before="120"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hyperlink w:anchor="_Toc1723" w:history="1">
        <w:r w:rsidR="00C02F5D">
          <w:rPr>
            <w:rFonts w:ascii="黑体" w:eastAsia="黑体" w:hAnsi="黑体" w:hint="eastAsia"/>
            <w:spacing w:val="4"/>
            <w:sz w:val="32"/>
            <w:szCs w:val="32"/>
          </w:rPr>
          <w:t>公司设立与历史沿革</w:t>
        </w:r>
      </w:hyperlink>
    </w:p>
    <w:p w:rsidR="0083330B" w:rsidRPr="0083330B" w:rsidRDefault="0083330B" w:rsidP="0083330B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640"/>
        <w:jc w:val="both"/>
        <w:rPr>
          <w:rFonts w:ascii="黑体" w:eastAsia="黑体" w:hAnsi="黑体"/>
          <w:spacing w:val="4"/>
          <w:sz w:val="32"/>
          <w:szCs w:val="32"/>
        </w:rPr>
      </w:pPr>
      <w:r w:rsidRPr="0083330B">
        <w:rPr>
          <w:rFonts w:ascii="仿宋_GB2312" w:eastAsia="仿宋_GB2312" w:hAnsi="仿宋" w:cs="仿宋" w:hint="eastAsia"/>
          <w:sz w:val="32"/>
          <w:szCs w:val="32"/>
        </w:rPr>
        <w:t>公司设立、历史沿革与历次工商登记变更。</w:t>
      </w:r>
    </w:p>
    <w:p w:rsidR="00604579" w:rsidRDefault="0083330B" w:rsidP="0083330B">
      <w:pPr>
        <w:pStyle w:val="a9"/>
        <w:numPr>
          <w:ilvl w:val="0"/>
          <w:numId w:val="3"/>
        </w:numPr>
        <w:spacing w:beforeLines="50" w:before="120"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 w:rsidRPr="0083330B">
        <w:rPr>
          <w:rFonts w:ascii="黑体" w:eastAsia="黑体" w:hAnsi="黑体" w:hint="eastAsia"/>
          <w:spacing w:val="4"/>
          <w:sz w:val="32"/>
          <w:szCs w:val="32"/>
        </w:rPr>
        <w:t>业务与技术</w:t>
      </w:r>
    </w:p>
    <w:p w:rsidR="00604579" w:rsidRPr="0083330B" w:rsidRDefault="00A205B6" w:rsidP="008155E6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480"/>
        <w:jc w:val="both"/>
        <w:rPr>
          <w:rFonts w:ascii="仿宋_GB2312" w:eastAsia="仿宋_GB2312" w:hAnsi="仿宋" w:cs="仿宋"/>
          <w:sz w:val="32"/>
          <w:szCs w:val="32"/>
        </w:rPr>
      </w:pPr>
      <w:hyperlink w:anchor="_Toc6517" w:history="1">
        <w:r w:rsidR="00C02F5D" w:rsidRPr="0083330B">
          <w:rPr>
            <w:rFonts w:ascii="仿宋_GB2312" w:eastAsia="仿宋_GB2312" w:hAnsi="仿宋" w:cs="仿宋" w:hint="eastAsia"/>
            <w:sz w:val="32"/>
            <w:szCs w:val="32"/>
          </w:rPr>
          <w:t>（一）业务概述</w:t>
        </w:r>
      </w:hyperlink>
      <w:r w:rsidR="00C02F5D" w:rsidRPr="0083330B">
        <w:rPr>
          <w:rFonts w:ascii="仿宋_GB2312" w:eastAsia="仿宋_GB2312" w:hAnsi="仿宋" w:cs="仿宋" w:hint="eastAsia"/>
          <w:sz w:val="32"/>
          <w:szCs w:val="32"/>
        </w:rPr>
        <w:t>、</w:t>
      </w:r>
      <w:hyperlink w:anchor="_Toc17186" w:history="1">
        <w:r w:rsidR="00C02F5D" w:rsidRPr="0083330B">
          <w:rPr>
            <w:rFonts w:ascii="仿宋_GB2312" w:eastAsia="仿宋_GB2312" w:hAnsi="仿宋" w:cs="仿宋" w:hint="eastAsia"/>
            <w:sz w:val="32"/>
            <w:szCs w:val="32"/>
          </w:rPr>
          <w:t>公司定位</w:t>
        </w:r>
      </w:hyperlink>
    </w:p>
    <w:p w:rsidR="00604579" w:rsidRPr="0083330B" w:rsidRDefault="00A205B6" w:rsidP="008155E6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480"/>
        <w:jc w:val="both"/>
        <w:rPr>
          <w:rFonts w:ascii="仿宋_GB2312" w:eastAsia="仿宋_GB2312" w:hAnsi="仿宋" w:cs="仿宋"/>
          <w:sz w:val="32"/>
          <w:szCs w:val="32"/>
        </w:rPr>
      </w:pPr>
      <w:hyperlink w:anchor="_Toc5947" w:history="1">
        <w:r w:rsidR="00C02F5D" w:rsidRPr="0083330B">
          <w:rPr>
            <w:rFonts w:ascii="仿宋_GB2312" w:eastAsia="仿宋_GB2312" w:hAnsi="仿宋" w:cs="仿宋" w:hint="eastAsia"/>
            <w:sz w:val="32"/>
            <w:szCs w:val="32"/>
          </w:rPr>
          <w:t>（二）主要技术产品应用</w:t>
        </w:r>
      </w:hyperlink>
    </w:p>
    <w:p w:rsidR="00604579" w:rsidRPr="0083330B" w:rsidRDefault="00C02F5D" w:rsidP="0083330B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83330B">
        <w:rPr>
          <w:rFonts w:ascii="仿宋_GB2312" w:eastAsia="仿宋_GB2312" w:hAnsi="仿宋" w:cs="仿宋"/>
          <w:sz w:val="32"/>
          <w:szCs w:val="32"/>
        </w:rPr>
        <w:t>依靠核心技术形成的主要产品（服务），</w:t>
      </w:r>
      <w:r w:rsidRPr="0083330B">
        <w:rPr>
          <w:rFonts w:ascii="仿宋_GB2312" w:eastAsia="仿宋_GB2312" w:hAnsi="仿宋" w:cs="仿宋" w:hint="eastAsia"/>
          <w:sz w:val="32"/>
          <w:szCs w:val="32"/>
        </w:rPr>
        <w:t>尤其是</w:t>
      </w:r>
      <w:r w:rsidRPr="0083330B">
        <w:rPr>
          <w:rFonts w:ascii="仿宋_GB2312" w:eastAsia="仿宋_GB2312" w:hAnsi="仿宋" w:cs="仿宋"/>
          <w:sz w:val="32"/>
          <w:szCs w:val="32"/>
        </w:rPr>
        <w:t>属于</w:t>
      </w:r>
      <w:r w:rsidRPr="0083330B">
        <w:rPr>
          <w:rFonts w:ascii="仿宋_GB2312" w:eastAsia="仿宋_GB2312" w:hAnsi="仿宋" w:cs="仿宋" w:hint="eastAsia"/>
          <w:sz w:val="32"/>
          <w:szCs w:val="32"/>
        </w:rPr>
        <w:t>国家</w:t>
      </w:r>
      <w:r w:rsidRPr="0083330B">
        <w:rPr>
          <w:rFonts w:ascii="仿宋_GB2312" w:eastAsia="仿宋_GB2312" w:hAnsi="仿宋" w:cs="仿宋"/>
          <w:sz w:val="32"/>
          <w:szCs w:val="32"/>
        </w:rPr>
        <w:t>鼓励、支持和推动的关键设备、关键产品、关键零部件、关键材料等，</w:t>
      </w:r>
      <w:r w:rsidRPr="0083330B">
        <w:rPr>
          <w:rFonts w:ascii="仿宋_GB2312" w:eastAsia="仿宋_GB2312" w:hAnsi="仿宋" w:cs="仿宋" w:hint="eastAsia"/>
          <w:sz w:val="32"/>
          <w:szCs w:val="32"/>
        </w:rPr>
        <w:t>是否</w:t>
      </w:r>
      <w:r w:rsidRPr="0083330B">
        <w:rPr>
          <w:rFonts w:ascii="仿宋_GB2312" w:eastAsia="仿宋_GB2312" w:hAnsi="仿宋" w:cs="仿宋"/>
          <w:sz w:val="32"/>
          <w:szCs w:val="32"/>
        </w:rPr>
        <w:t>实现了进口替代</w:t>
      </w:r>
      <w:r w:rsidRPr="0083330B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604579" w:rsidRPr="0083330B" w:rsidRDefault="00A205B6" w:rsidP="008155E6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480"/>
        <w:jc w:val="both"/>
        <w:rPr>
          <w:rFonts w:ascii="仿宋_GB2312" w:eastAsia="仿宋_GB2312" w:hAnsi="仿宋" w:cs="仿宋"/>
          <w:sz w:val="32"/>
          <w:szCs w:val="32"/>
        </w:rPr>
      </w:pPr>
      <w:hyperlink w:anchor="_Toc20804" w:history="1">
        <w:r w:rsidR="00C02F5D" w:rsidRPr="0083330B">
          <w:rPr>
            <w:rFonts w:ascii="仿宋_GB2312" w:eastAsia="仿宋_GB2312" w:hAnsi="仿宋" w:cs="仿宋" w:hint="eastAsia"/>
            <w:sz w:val="32"/>
            <w:szCs w:val="32"/>
          </w:rPr>
          <w:t>（三）部分重点应用领域与客户</w:t>
        </w:r>
      </w:hyperlink>
    </w:p>
    <w:p w:rsidR="00604579" w:rsidRPr="0083330B" w:rsidRDefault="00C02F5D" w:rsidP="0083330B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83330B">
        <w:rPr>
          <w:rFonts w:ascii="仿宋_GB2312" w:eastAsia="仿宋_GB2312" w:hAnsi="仿宋" w:cs="仿宋" w:hint="eastAsia"/>
          <w:sz w:val="32"/>
          <w:szCs w:val="32"/>
        </w:rPr>
        <w:t>（四）科技研发与创新</w:t>
      </w:r>
    </w:p>
    <w:p w:rsidR="00604579" w:rsidRPr="0083330B" w:rsidRDefault="00C02F5D" w:rsidP="0083330B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83330B">
        <w:rPr>
          <w:rFonts w:ascii="仿宋_GB2312" w:eastAsia="仿宋_GB2312" w:hAnsi="仿宋" w:cs="仿宋" w:hint="eastAsia"/>
          <w:sz w:val="32"/>
          <w:szCs w:val="32"/>
        </w:rPr>
        <w:t>1.最近3-5年研发投入占营业收入比例、投入金额；</w:t>
      </w:r>
    </w:p>
    <w:p w:rsidR="00604579" w:rsidRPr="0083330B" w:rsidRDefault="00C02F5D" w:rsidP="0083330B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83330B">
        <w:rPr>
          <w:rFonts w:ascii="仿宋_GB2312" w:eastAsia="仿宋_GB2312" w:hAnsi="仿宋" w:cs="仿宋" w:hint="eastAsia"/>
          <w:sz w:val="32"/>
          <w:szCs w:val="32"/>
        </w:rPr>
        <w:t>2.形成的能产生主营业务收入的专利情况；</w:t>
      </w:r>
    </w:p>
    <w:p w:rsidR="00604579" w:rsidRPr="0083330B" w:rsidRDefault="00C02F5D" w:rsidP="0083330B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83330B">
        <w:rPr>
          <w:rFonts w:ascii="仿宋_GB2312" w:eastAsia="仿宋_GB2312" w:hAnsi="仿宋" w:cs="仿宋" w:hint="eastAsia"/>
          <w:sz w:val="32"/>
          <w:szCs w:val="32"/>
        </w:rPr>
        <w:t>3.拥有的经国家主管部门认定具有国家、国际</w:t>
      </w:r>
      <w:r w:rsidRPr="0083330B">
        <w:rPr>
          <w:rFonts w:ascii="仿宋_GB2312" w:eastAsia="仿宋_GB2312" w:hAnsi="仿宋" w:cs="仿宋"/>
          <w:sz w:val="32"/>
          <w:szCs w:val="32"/>
        </w:rPr>
        <w:t>领先、引领</w:t>
      </w:r>
      <w:r w:rsidRPr="0083330B">
        <w:rPr>
          <w:rFonts w:ascii="仿宋_GB2312" w:eastAsia="仿宋_GB2312" w:hAnsi="仿宋" w:cs="仿宋"/>
          <w:sz w:val="32"/>
          <w:szCs w:val="32"/>
        </w:rPr>
        <w:lastRenderedPageBreak/>
        <w:t>作用或者对于国家战略具有重大意义</w:t>
      </w:r>
      <w:r w:rsidRPr="0083330B">
        <w:rPr>
          <w:rFonts w:ascii="仿宋_GB2312" w:eastAsia="仿宋_GB2312" w:hAnsi="仿宋" w:cs="仿宋" w:hint="eastAsia"/>
          <w:sz w:val="32"/>
          <w:szCs w:val="32"/>
        </w:rPr>
        <w:t>的核心技术情况；</w:t>
      </w:r>
    </w:p>
    <w:p w:rsidR="00604579" w:rsidRPr="0083330B" w:rsidRDefault="00C02F5D" w:rsidP="0083330B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83330B">
        <w:rPr>
          <w:rFonts w:ascii="仿宋_GB2312" w:eastAsia="仿宋_GB2312" w:hAnsi="仿宋" w:cs="仿宋" w:hint="eastAsia"/>
          <w:sz w:val="32"/>
          <w:szCs w:val="32"/>
        </w:rPr>
        <w:t>4.</w:t>
      </w:r>
      <w:r w:rsidRPr="0083330B">
        <w:rPr>
          <w:rFonts w:ascii="仿宋_GB2312" w:eastAsia="仿宋_GB2312" w:hAnsi="仿宋" w:cs="仿宋"/>
          <w:sz w:val="32"/>
          <w:szCs w:val="32"/>
        </w:rPr>
        <w:t>独立或者牵头承担与主营业务和核心技术相关的</w:t>
      </w:r>
      <w:r w:rsidRPr="0083330B">
        <w:rPr>
          <w:rFonts w:ascii="仿宋_GB2312" w:eastAsia="仿宋_GB2312" w:hAnsi="仿宋" w:cs="仿宋" w:hint="eastAsia"/>
          <w:sz w:val="32"/>
          <w:szCs w:val="32"/>
        </w:rPr>
        <w:t>国家级、省级</w:t>
      </w:r>
      <w:r w:rsidRPr="0083330B">
        <w:rPr>
          <w:rFonts w:ascii="仿宋_GB2312" w:eastAsia="仿宋_GB2312" w:hAnsi="仿宋" w:cs="仿宋"/>
          <w:sz w:val="32"/>
          <w:szCs w:val="32"/>
        </w:rPr>
        <w:t>重大科技专项项目；</w:t>
      </w:r>
    </w:p>
    <w:p w:rsidR="00604579" w:rsidRPr="0083330B" w:rsidRDefault="00C02F5D" w:rsidP="0083330B">
      <w:pPr>
        <w:pStyle w:val="a7"/>
        <w:widowControl w:val="0"/>
        <w:shd w:val="clear" w:color="auto" w:fill="FFFFFF"/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83330B">
        <w:rPr>
          <w:rFonts w:ascii="仿宋_GB2312" w:eastAsia="仿宋_GB2312" w:hAnsi="仿宋" w:cs="仿宋" w:hint="eastAsia"/>
          <w:sz w:val="32"/>
          <w:szCs w:val="32"/>
        </w:rPr>
        <w:t>5.作为主要参与单位或者内部核心技术人员</w:t>
      </w:r>
      <w:r w:rsidRPr="0083330B">
        <w:rPr>
          <w:rFonts w:ascii="仿宋_GB2312" w:eastAsia="仿宋_GB2312" w:hAnsi="仿宋" w:cs="仿宋"/>
          <w:sz w:val="32"/>
          <w:szCs w:val="32"/>
        </w:rPr>
        <w:t>作为主要参与人员，获得</w:t>
      </w:r>
      <w:r w:rsidRPr="0083330B">
        <w:rPr>
          <w:rFonts w:ascii="仿宋_GB2312" w:eastAsia="仿宋_GB2312" w:hAnsi="仿宋" w:cs="仿宋" w:hint="eastAsia"/>
          <w:sz w:val="32"/>
          <w:szCs w:val="32"/>
        </w:rPr>
        <w:t>国家级、省级</w:t>
      </w:r>
      <w:r w:rsidRPr="0083330B">
        <w:rPr>
          <w:rFonts w:ascii="仿宋_GB2312" w:eastAsia="仿宋_GB2312" w:hAnsi="仿宋" w:cs="仿宋"/>
          <w:sz w:val="32"/>
          <w:szCs w:val="32"/>
        </w:rPr>
        <w:t>科技进步奖、自然科学奖、技术发明奖，并将相关技术运用于公司主营业务</w:t>
      </w:r>
      <w:r w:rsidRPr="0083330B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604579" w:rsidRDefault="00A205B6" w:rsidP="0083330B">
      <w:pPr>
        <w:pStyle w:val="a9"/>
        <w:numPr>
          <w:ilvl w:val="0"/>
          <w:numId w:val="3"/>
        </w:numPr>
        <w:spacing w:beforeLines="100" w:before="240" w:after="0" w:line="580" w:lineRule="exact"/>
        <w:ind w:firstLineChars="0"/>
        <w:rPr>
          <w:rFonts w:ascii="黑体" w:eastAsia="黑体" w:hAnsi="黑体"/>
          <w:sz w:val="32"/>
          <w:szCs w:val="32"/>
        </w:rPr>
      </w:pPr>
      <w:hyperlink w:anchor="_Toc17182" w:history="1">
        <w:r w:rsidR="00C02F5D">
          <w:rPr>
            <w:rFonts w:ascii="黑体" w:eastAsia="黑体" w:hAnsi="黑体" w:hint="eastAsia"/>
            <w:sz w:val="32"/>
            <w:szCs w:val="32"/>
          </w:rPr>
          <w:t>行业概览与竞争优势</w:t>
        </w:r>
      </w:hyperlink>
    </w:p>
    <w:p w:rsidR="00604579" w:rsidRPr="0083330B" w:rsidRDefault="00A205B6" w:rsidP="008155E6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ind w:firstLineChars="200" w:firstLine="480"/>
        <w:jc w:val="both"/>
        <w:rPr>
          <w:rFonts w:ascii="仿宋_GB2312" w:eastAsia="仿宋_GB2312" w:hAnsi="仿宋" w:cs="仿宋"/>
          <w:sz w:val="32"/>
          <w:szCs w:val="32"/>
        </w:rPr>
      </w:pPr>
      <w:hyperlink w:anchor="_Toc1250" w:history="1">
        <w:r w:rsidR="00C02F5D" w:rsidRPr="0083330B">
          <w:rPr>
            <w:rFonts w:ascii="仿宋_GB2312" w:eastAsia="仿宋_GB2312" w:hAnsi="仿宋" w:cs="仿宋" w:hint="eastAsia"/>
            <w:sz w:val="32"/>
            <w:szCs w:val="32"/>
          </w:rPr>
          <w:t>（一）行业概览</w:t>
        </w:r>
      </w:hyperlink>
      <w:r w:rsidR="00C02F5D" w:rsidRPr="0083330B">
        <w:rPr>
          <w:rFonts w:ascii="仿宋_GB2312" w:eastAsia="仿宋_GB2312" w:hAnsi="仿宋" w:cs="仿宋" w:hint="eastAsia"/>
          <w:sz w:val="32"/>
          <w:szCs w:val="32"/>
        </w:rPr>
        <w:t>及市场规模</w:t>
      </w:r>
    </w:p>
    <w:p w:rsidR="00604579" w:rsidRPr="0083330B" w:rsidRDefault="00A205B6" w:rsidP="008155E6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ind w:firstLineChars="200" w:firstLine="480"/>
        <w:jc w:val="both"/>
        <w:rPr>
          <w:rFonts w:ascii="仿宋_GB2312" w:eastAsia="仿宋_GB2312" w:hAnsi="仿宋" w:cs="仿宋"/>
          <w:sz w:val="32"/>
          <w:szCs w:val="32"/>
        </w:rPr>
      </w:pPr>
      <w:hyperlink w:anchor="_Toc21515" w:history="1">
        <w:r w:rsidR="00C02F5D" w:rsidRPr="0083330B">
          <w:rPr>
            <w:rFonts w:ascii="仿宋_GB2312" w:eastAsia="仿宋_GB2312" w:hAnsi="仿宋" w:cs="仿宋" w:hint="eastAsia"/>
            <w:sz w:val="32"/>
            <w:szCs w:val="32"/>
          </w:rPr>
          <w:t>（二）公司竞争优势分析</w:t>
        </w:r>
      </w:hyperlink>
    </w:p>
    <w:p w:rsidR="00604579" w:rsidRDefault="00A205B6" w:rsidP="0083330B">
      <w:pPr>
        <w:pStyle w:val="a9"/>
        <w:numPr>
          <w:ilvl w:val="0"/>
          <w:numId w:val="3"/>
        </w:numPr>
        <w:spacing w:beforeLines="100" w:before="240" w:after="0" w:line="580" w:lineRule="exact"/>
        <w:ind w:firstLineChars="0"/>
        <w:rPr>
          <w:rFonts w:ascii="黑体" w:eastAsia="黑体" w:hAnsi="黑体"/>
          <w:sz w:val="32"/>
          <w:szCs w:val="32"/>
        </w:rPr>
      </w:pPr>
      <w:hyperlink w:anchor="_Toc23011" w:history="1">
        <w:r w:rsidR="00C02F5D">
          <w:rPr>
            <w:rFonts w:ascii="黑体" w:eastAsia="黑体" w:hAnsi="黑体" w:hint="eastAsia"/>
            <w:sz w:val="32"/>
            <w:szCs w:val="32"/>
          </w:rPr>
          <w:t>组织架构与人员情况</w:t>
        </w:r>
      </w:hyperlink>
    </w:p>
    <w:p w:rsidR="00604579" w:rsidRPr="0083330B" w:rsidRDefault="00A205B6" w:rsidP="008155E6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ind w:firstLineChars="200" w:firstLine="480"/>
        <w:jc w:val="both"/>
        <w:rPr>
          <w:rFonts w:ascii="仿宋_GB2312" w:eastAsia="仿宋_GB2312" w:hAnsi="仿宋" w:cs="仿宋"/>
          <w:sz w:val="32"/>
          <w:szCs w:val="32"/>
        </w:rPr>
      </w:pPr>
      <w:hyperlink w:anchor="_Toc7250" w:history="1">
        <w:r w:rsidR="00C02F5D" w:rsidRPr="0083330B">
          <w:rPr>
            <w:rFonts w:ascii="仿宋_GB2312" w:eastAsia="仿宋_GB2312" w:hAnsi="仿宋" w:cs="仿宋" w:hint="eastAsia"/>
            <w:sz w:val="32"/>
            <w:szCs w:val="32"/>
          </w:rPr>
          <w:t>（一）公司组织架构</w:t>
        </w:r>
      </w:hyperlink>
    </w:p>
    <w:p w:rsidR="00604579" w:rsidRPr="0083330B" w:rsidRDefault="00C02F5D" w:rsidP="0083330B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jc w:val="both"/>
        <w:rPr>
          <w:rFonts w:ascii="仿宋_GB2312" w:eastAsia="仿宋_GB2312" w:hAnsi="仿宋" w:cs="仿宋"/>
          <w:sz w:val="32"/>
          <w:szCs w:val="32"/>
        </w:rPr>
      </w:pPr>
      <w:r w:rsidRPr="0083330B">
        <w:rPr>
          <w:rFonts w:ascii="仿宋_GB2312" w:eastAsia="仿宋_GB2312" w:hAnsi="仿宋" w:cs="仿宋" w:hint="eastAsia"/>
          <w:sz w:val="32"/>
          <w:szCs w:val="32"/>
        </w:rPr>
        <w:t>包括拥有</w:t>
      </w:r>
      <w:proofErr w:type="gramStart"/>
      <w:r w:rsidRPr="0083330B">
        <w:rPr>
          <w:rFonts w:ascii="仿宋_GB2312" w:eastAsia="仿宋_GB2312" w:hAnsi="仿宋" w:cs="仿宋" w:hint="eastAsia"/>
          <w:sz w:val="32"/>
          <w:szCs w:val="32"/>
        </w:rPr>
        <w:t>企业院士</w:t>
      </w:r>
      <w:proofErr w:type="gramEnd"/>
      <w:r w:rsidRPr="0083330B">
        <w:rPr>
          <w:rFonts w:ascii="仿宋_GB2312" w:eastAsia="仿宋_GB2312" w:hAnsi="仿宋" w:cs="仿宋" w:hint="eastAsia"/>
          <w:sz w:val="32"/>
          <w:szCs w:val="32"/>
        </w:rPr>
        <w:t>工作站、博士后科研工作站、创新实践基地、技术中心、工程中心、工程技术研究中心等省级以上创新平台情况</w:t>
      </w:r>
    </w:p>
    <w:p w:rsidR="00604579" w:rsidRPr="0083330B" w:rsidRDefault="00A205B6" w:rsidP="008155E6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ind w:firstLineChars="200" w:firstLine="480"/>
        <w:jc w:val="both"/>
        <w:rPr>
          <w:rFonts w:ascii="仿宋_GB2312" w:eastAsia="仿宋_GB2312" w:hAnsi="仿宋" w:cs="仿宋"/>
          <w:sz w:val="32"/>
          <w:szCs w:val="32"/>
        </w:rPr>
      </w:pPr>
      <w:hyperlink w:anchor="_Toc3917" w:history="1">
        <w:r w:rsidR="00C02F5D" w:rsidRPr="0083330B">
          <w:rPr>
            <w:rFonts w:ascii="仿宋_GB2312" w:eastAsia="仿宋_GB2312" w:hAnsi="仿宋" w:cs="仿宋" w:hint="eastAsia"/>
            <w:sz w:val="32"/>
            <w:szCs w:val="32"/>
          </w:rPr>
          <w:t>（二）核心高管履历</w:t>
        </w:r>
      </w:hyperlink>
    </w:p>
    <w:p w:rsidR="00604579" w:rsidRPr="0083330B" w:rsidRDefault="00C02F5D" w:rsidP="0083330B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83330B">
        <w:rPr>
          <w:rFonts w:ascii="仿宋_GB2312" w:eastAsia="仿宋_GB2312" w:hAnsi="仿宋" w:cs="仿宋" w:hint="eastAsia"/>
          <w:sz w:val="32"/>
          <w:szCs w:val="32"/>
        </w:rPr>
        <w:t>（三）核心研发人员履历</w:t>
      </w:r>
      <w:r w:rsidR="0083330B">
        <w:rPr>
          <w:rFonts w:ascii="仿宋_GB2312" w:eastAsia="仿宋_GB2312" w:hAnsi="仿宋" w:cs="仿宋" w:hint="eastAsia"/>
          <w:sz w:val="32"/>
          <w:szCs w:val="32"/>
        </w:rPr>
        <w:t>，</w:t>
      </w:r>
      <w:r w:rsidRPr="0083330B">
        <w:rPr>
          <w:rFonts w:ascii="仿宋_GB2312" w:eastAsia="仿宋_GB2312" w:hAnsi="仿宋" w:cs="仿宋" w:hint="eastAsia"/>
          <w:sz w:val="32"/>
          <w:szCs w:val="32"/>
        </w:rPr>
        <w:t>近几年科研项目承接情况</w:t>
      </w:r>
    </w:p>
    <w:p w:rsidR="00604579" w:rsidRPr="0083330B" w:rsidRDefault="00A205B6" w:rsidP="008155E6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ind w:firstLineChars="200" w:firstLine="480"/>
        <w:jc w:val="both"/>
        <w:rPr>
          <w:rFonts w:ascii="仿宋_GB2312" w:eastAsia="仿宋_GB2312" w:hAnsi="仿宋" w:cs="仿宋"/>
          <w:sz w:val="32"/>
          <w:szCs w:val="32"/>
        </w:rPr>
      </w:pPr>
      <w:hyperlink w:anchor="_Toc9460" w:history="1">
        <w:r w:rsidR="00C02F5D" w:rsidRPr="0083330B">
          <w:rPr>
            <w:rFonts w:ascii="仿宋_GB2312" w:eastAsia="仿宋_GB2312" w:hAnsi="仿宋" w:cs="仿宋" w:hint="eastAsia"/>
            <w:sz w:val="32"/>
            <w:szCs w:val="32"/>
          </w:rPr>
          <w:t>（四）职员情况</w:t>
        </w:r>
      </w:hyperlink>
    </w:p>
    <w:p w:rsidR="00604579" w:rsidRDefault="00A205B6" w:rsidP="0083330B">
      <w:pPr>
        <w:pStyle w:val="a9"/>
        <w:numPr>
          <w:ilvl w:val="0"/>
          <w:numId w:val="3"/>
        </w:numPr>
        <w:spacing w:beforeLines="100" w:before="240" w:after="0" w:line="580" w:lineRule="exact"/>
        <w:ind w:firstLineChars="0"/>
        <w:rPr>
          <w:rFonts w:ascii="黑体" w:eastAsia="黑体" w:hAnsi="黑体"/>
          <w:sz w:val="32"/>
          <w:szCs w:val="32"/>
        </w:rPr>
      </w:pPr>
      <w:hyperlink w:anchor="_Toc32749" w:history="1">
        <w:r w:rsidR="00C02F5D">
          <w:rPr>
            <w:rFonts w:ascii="黑体" w:eastAsia="黑体" w:hAnsi="黑体" w:hint="eastAsia"/>
            <w:sz w:val="32"/>
            <w:szCs w:val="32"/>
          </w:rPr>
          <w:t>财务分析</w:t>
        </w:r>
      </w:hyperlink>
      <w:r w:rsidR="00C02F5D">
        <w:rPr>
          <w:rFonts w:ascii="黑体" w:eastAsia="黑体" w:hAnsi="黑体" w:hint="eastAsia"/>
          <w:sz w:val="32"/>
          <w:szCs w:val="32"/>
        </w:rPr>
        <w:t>和运营计划</w:t>
      </w:r>
    </w:p>
    <w:p w:rsidR="00604579" w:rsidRDefault="00A205B6" w:rsidP="0083330B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ind w:firstLineChars="250" w:firstLine="600"/>
        <w:jc w:val="both"/>
        <w:rPr>
          <w:rFonts w:ascii="仿宋" w:eastAsia="仿宋" w:hAnsi="仿宋" w:cs="仿宋"/>
          <w:sz w:val="32"/>
          <w:szCs w:val="32"/>
        </w:rPr>
      </w:pPr>
      <w:hyperlink w:anchor="_Toc9257" w:history="1">
        <w:r w:rsidR="00C02F5D">
          <w:rPr>
            <w:rFonts w:ascii="仿宋" w:eastAsia="仿宋" w:hAnsi="仿宋" w:cs="仿宋" w:hint="eastAsia"/>
            <w:sz w:val="32"/>
            <w:szCs w:val="32"/>
          </w:rPr>
          <w:t>（一）财务报表</w:t>
        </w:r>
      </w:hyperlink>
    </w:p>
    <w:p w:rsidR="00604579" w:rsidRDefault="00A205B6" w:rsidP="0083330B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ind w:firstLineChars="250" w:firstLine="600"/>
        <w:jc w:val="both"/>
        <w:rPr>
          <w:rFonts w:ascii="仿宋" w:eastAsia="仿宋" w:hAnsi="仿宋" w:cs="仿宋"/>
          <w:sz w:val="32"/>
          <w:szCs w:val="32"/>
        </w:rPr>
      </w:pPr>
      <w:hyperlink w:anchor="_Toc15662" w:history="1">
        <w:r w:rsidR="00C02F5D">
          <w:rPr>
            <w:rFonts w:ascii="仿宋" w:eastAsia="仿宋" w:hAnsi="仿宋" w:cs="仿宋" w:hint="eastAsia"/>
            <w:sz w:val="32"/>
            <w:szCs w:val="32"/>
          </w:rPr>
          <w:t>（二）财务状况分析</w:t>
        </w:r>
      </w:hyperlink>
    </w:p>
    <w:p w:rsidR="00604579" w:rsidRDefault="00A205B6" w:rsidP="0083330B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ind w:firstLineChars="250" w:firstLine="600"/>
        <w:jc w:val="both"/>
        <w:rPr>
          <w:rFonts w:ascii="仿宋" w:eastAsia="仿宋" w:hAnsi="仿宋" w:cs="仿宋"/>
          <w:sz w:val="32"/>
          <w:szCs w:val="32"/>
        </w:rPr>
      </w:pPr>
      <w:hyperlink w:anchor="_Toc12642" w:history="1">
        <w:r w:rsidR="00C02F5D">
          <w:rPr>
            <w:rFonts w:ascii="仿宋" w:eastAsia="仿宋" w:hAnsi="仿宋" w:cs="仿宋" w:hint="eastAsia"/>
            <w:sz w:val="32"/>
            <w:szCs w:val="32"/>
          </w:rPr>
          <w:t>（三）未来3-5年财务预测</w:t>
        </w:r>
      </w:hyperlink>
      <w:r w:rsidR="00C02F5D"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604579" w:rsidRDefault="00C02F5D" w:rsidP="0083330B">
      <w:pPr>
        <w:pStyle w:val="a7"/>
        <w:widowControl w:val="0"/>
        <w:shd w:val="clear" w:color="auto" w:fill="FFFFFF"/>
        <w:tabs>
          <w:tab w:val="left" w:pos="0"/>
        </w:tabs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（四）未来3-5年运营计划</w:t>
      </w:r>
    </w:p>
    <w:p w:rsidR="000B5BC8" w:rsidRPr="000B5BC8" w:rsidRDefault="000B5BC8" w:rsidP="0083330B">
      <w:pPr>
        <w:pStyle w:val="a9"/>
        <w:numPr>
          <w:ilvl w:val="0"/>
          <w:numId w:val="3"/>
        </w:numPr>
        <w:spacing w:beforeLines="100" w:before="240" w:after="0" w:line="580" w:lineRule="exact"/>
        <w:ind w:firstLineChars="0"/>
        <w:rPr>
          <w:rFonts w:ascii="黑体" w:eastAsia="黑体" w:hAnsi="黑体"/>
          <w:sz w:val="32"/>
          <w:szCs w:val="32"/>
        </w:rPr>
      </w:pPr>
      <w:r w:rsidRPr="000B5BC8">
        <w:rPr>
          <w:rFonts w:ascii="黑体" w:eastAsia="黑体" w:hAnsi="黑体" w:hint="eastAsia"/>
          <w:sz w:val="32"/>
          <w:szCs w:val="32"/>
        </w:rPr>
        <w:t>投资方案</w:t>
      </w:r>
    </w:p>
    <w:p w:rsidR="000B5BC8" w:rsidRDefault="000B5BC8" w:rsidP="0083330B">
      <w:pPr>
        <w:spacing w:line="580" w:lineRule="exact"/>
        <w:ind w:firstLineChars="215" w:firstLine="705"/>
        <w:rPr>
          <w:rFonts w:ascii="仿宋_GB2312" w:eastAsia="仿宋_GB2312" w:hAnsi="Calibri"/>
          <w:spacing w:val="4"/>
          <w:sz w:val="32"/>
          <w:szCs w:val="32"/>
        </w:rPr>
      </w:pPr>
      <w:r w:rsidRPr="00C9526E">
        <w:rPr>
          <w:rFonts w:ascii="仿宋_GB2312" w:eastAsia="仿宋_GB2312" w:hAnsi="Calibri" w:hint="eastAsia"/>
          <w:spacing w:val="4"/>
          <w:sz w:val="32"/>
          <w:szCs w:val="32"/>
        </w:rPr>
        <w:t>被投资主体、时间、价格、期限、预期投资回报率、有关担保措施等。</w:t>
      </w:r>
    </w:p>
    <w:p w:rsidR="000B5BC8" w:rsidRPr="000B5BC8" w:rsidRDefault="000B5BC8" w:rsidP="0083330B">
      <w:pPr>
        <w:pStyle w:val="a9"/>
        <w:numPr>
          <w:ilvl w:val="0"/>
          <w:numId w:val="3"/>
        </w:numPr>
        <w:spacing w:beforeLines="100" w:before="240" w:after="0" w:line="580" w:lineRule="exact"/>
        <w:ind w:firstLineChars="0"/>
        <w:rPr>
          <w:rFonts w:ascii="黑体" w:eastAsia="黑体" w:hAnsi="黑体"/>
          <w:sz w:val="32"/>
          <w:szCs w:val="32"/>
        </w:rPr>
      </w:pPr>
      <w:r w:rsidRPr="000B5BC8">
        <w:rPr>
          <w:rFonts w:ascii="黑体" w:eastAsia="黑体" w:hAnsi="黑体" w:hint="eastAsia"/>
          <w:sz w:val="32"/>
          <w:szCs w:val="32"/>
        </w:rPr>
        <w:t>融资计划与用途</w:t>
      </w:r>
    </w:p>
    <w:p w:rsidR="000B5BC8" w:rsidRPr="00810475" w:rsidRDefault="000B5BC8" w:rsidP="0083330B">
      <w:pPr>
        <w:spacing w:line="580" w:lineRule="exact"/>
        <w:ind w:firstLineChars="215" w:firstLine="705"/>
        <w:rPr>
          <w:rFonts w:ascii="仿宋_GB2312" w:eastAsia="仿宋_GB2312" w:hAnsi="Calibri"/>
          <w:spacing w:val="4"/>
          <w:sz w:val="32"/>
          <w:szCs w:val="32"/>
        </w:rPr>
      </w:pPr>
      <w:r w:rsidRPr="00810475">
        <w:rPr>
          <w:rFonts w:ascii="仿宋_GB2312" w:eastAsia="仿宋_GB2312" w:hAnsi="Calibri" w:hint="eastAsia"/>
          <w:spacing w:val="4"/>
          <w:sz w:val="32"/>
          <w:szCs w:val="32"/>
        </w:rPr>
        <w:t>包括股权投资计划、债权融资</w:t>
      </w:r>
      <w:bookmarkStart w:id="0" w:name="_GoBack"/>
      <w:bookmarkEnd w:id="0"/>
      <w:r w:rsidRPr="00810475">
        <w:rPr>
          <w:rFonts w:ascii="仿宋_GB2312" w:eastAsia="仿宋_GB2312" w:hAnsi="Calibri" w:hint="eastAsia"/>
          <w:spacing w:val="4"/>
          <w:sz w:val="32"/>
          <w:szCs w:val="32"/>
        </w:rPr>
        <w:t>计划、募集资金用途，</w:t>
      </w:r>
      <w:r w:rsidRPr="00F95766">
        <w:rPr>
          <w:rFonts w:ascii="仿宋_GB2312" w:eastAsia="仿宋_GB2312" w:hAnsi="Calibri" w:hint="eastAsia"/>
          <w:spacing w:val="4"/>
          <w:sz w:val="32"/>
          <w:szCs w:val="32"/>
        </w:rPr>
        <w:t>以及相应资金用途。</w:t>
      </w:r>
    </w:p>
    <w:p w:rsidR="00604579" w:rsidRDefault="00A205B6" w:rsidP="0083330B">
      <w:pPr>
        <w:pStyle w:val="a9"/>
        <w:numPr>
          <w:ilvl w:val="0"/>
          <w:numId w:val="3"/>
        </w:numPr>
        <w:spacing w:beforeLines="100" w:before="240"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hyperlink w:anchor="_Toc21409" w:history="1">
        <w:r w:rsidR="00C02F5D">
          <w:rPr>
            <w:rFonts w:ascii="黑体" w:eastAsia="黑体" w:hAnsi="黑体" w:hint="eastAsia"/>
            <w:spacing w:val="4"/>
            <w:sz w:val="32"/>
            <w:szCs w:val="32"/>
          </w:rPr>
          <w:t>风险评估与控制措施</w:t>
        </w:r>
      </w:hyperlink>
    </w:p>
    <w:p w:rsidR="00604579" w:rsidRDefault="00A205B6" w:rsidP="0083330B">
      <w:pPr>
        <w:pStyle w:val="a9"/>
        <w:spacing w:line="580" w:lineRule="exact"/>
        <w:ind w:left="709" w:firstLineChars="0" w:firstLine="0"/>
        <w:rPr>
          <w:rFonts w:ascii="仿宋_GB2312" w:eastAsia="仿宋_GB2312" w:hAnsi="Calibri"/>
          <w:spacing w:val="4"/>
          <w:sz w:val="32"/>
          <w:szCs w:val="32"/>
        </w:rPr>
      </w:pPr>
      <w:hyperlink w:anchor="_Toc4567" w:history="1">
        <w:r w:rsidR="00C02F5D">
          <w:rPr>
            <w:rFonts w:ascii="仿宋_GB2312" w:eastAsia="仿宋_GB2312" w:hAnsi="Calibri" w:hint="eastAsia"/>
            <w:spacing w:val="4"/>
            <w:sz w:val="32"/>
            <w:szCs w:val="32"/>
          </w:rPr>
          <w:t>市场竞争与宏观经济风险</w:t>
        </w:r>
      </w:hyperlink>
      <w:r w:rsidR="00C02F5D">
        <w:rPr>
          <w:rFonts w:ascii="仿宋_GB2312" w:eastAsia="仿宋_GB2312" w:hAnsi="Calibri" w:hint="eastAsia"/>
          <w:spacing w:val="4"/>
          <w:sz w:val="32"/>
          <w:szCs w:val="32"/>
        </w:rPr>
        <w:t>、</w:t>
      </w:r>
      <w:hyperlink w:anchor="_Toc20451" w:history="1">
        <w:r w:rsidR="00C02F5D">
          <w:rPr>
            <w:rFonts w:ascii="仿宋_GB2312" w:eastAsia="仿宋_GB2312" w:hAnsi="Calibri" w:hint="eastAsia"/>
            <w:spacing w:val="4"/>
            <w:sz w:val="32"/>
            <w:szCs w:val="32"/>
          </w:rPr>
          <w:t>现金</w:t>
        </w:r>
        <w:proofErr w:type="gramStart"/>
        <w:r w:rsidR="00C02F5D">
          <w:rPr>
            <w:rFonts w:ascii="仿宋_GB2312" w:eastAsia="仿宋_GB2312" w:hAnsi="Calibri" w:hint="eastAsia"/>
            <w:spacing w:val="4"/>
            <w:sz w:val="32"/>
            <w:szCs w:val="32"/>
          </w:rPr>
          <w:t>流风险</w:t>
        </w:r>
        <w:proofErr w:type="gramEnd"/>
      </w:hyperlink>
      <w:r w:rsidR="00C02F5D">
        <w:rPr>
          <w:rFonts w:ascii="仿宋_GB2312" w:eastAsia="仿宋_GB2312" w:hAnsi="Calibri" w:hint="eastAsia"/>
          <w:spacing w:val="4"/>
          <w:sz w:val="32"/>
          <w:szCs w:val="32"/>
        </w:rPr>
        <w:t>等</w:t>
      </w:r>
    </w:p>
    <w:p w:rsidR="00604579" w:rsidRDefault="00604579" w:rsidP="0083330B">
      <w:pPr>
        <w:spacing w:line="580" w:lineRule="exact"/>
        <w:ind w:firstLineChars="128" w:firstLine="420"/>
        <w:jc w:val="both"/>
        <w:rPr>
          <w:rFonts w:ascii="黑体" w:eastAsia="黑体" w:hAnsi="黑体" w:cs="仿宋"/>
          <w:spacing w:val="4"/>
          <w:sz w:val="32"/>
          <w:szCs w:val="32"/>
        </w:rPr>
      </w:pPr>
    </w:p>
    <w:p w:rsidR="00604579" w:rsidRDefault="00C02F5D" w:rsidP="0083330B">
      <w:pPr>
        <w:spacing w:line="580" w:lineRule="exact"/>
        <w:ind w:firstLineChars="178" w:firstLine="584"/>
        <w:jc w:val="both"/>
        <w:rPr>
          <w:rFonts w:ascii="黑体" w:eastAsia="黑体" w:hAnsi="黑体" w:cs="仿宋"/>
          <w:spacing w:val="4"/>
          <w:sz w:val="32"/>
          <w:szCs w:val="32"/>
        </w:rPr>
      </w:pPr>
      <w:r>
        <w:rPr>
          <w:rFonts w:ascii="黑体" w:eastAsia="黑体" w:hAnsi="黑体" w:cs="仿宋" w:hint="eastAsia"/>
          <w:spacing w:val="4"/>
          <w:sz w:val="32"/>
          <w:szCs w:val="32"/>
        </w:rPr>
        <w:t>说明：本模板为基础参考模板，实际编写时将根据项目具体情况进行适当调整，以更全面、准确地反映项目情况、评估项目价值。</w:t>
      </w:r>
    </w:p>
    <w:p w:rsidR="00604579" w:rsidRDefault="00604579" w:rsidP="0083330B">
      <w:pPr>
        <w:pStyle w:val="a9"/>
        <w:spacing w:line="580" w:lineRule="exact"/>
        <w:ind w:firstLineChars="300" w:firstLine="984"/>
        <w:rPr>
          <w:rFonts w:ascii="仿宋" w:eastAsia="仿宋" w:hAnsi="仿宋" w:cs="仿宋"/>
          <w:spacing w:val="4"/>
          <w:sz w:val="32"/>
          <w:szCs w:val="32"/>
        </w:rPr>
      </w:pPr>
    </w:p>
    <w:sectPr w:rsidR="00604579" w:rsidSect="0083330B">
      <w:footerReference w:type="default" r:id="rId9"/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B6" w:rsidRDefault="00A205B6" w:rsidP="00604579">
      <w:pPr>
        <w:spacing w:after="0"/>
      </w:pPr>
      <w:r>
        <w:separator/>
      </w:r>
    </w:p>
  </w:endnote>
  <w:endnote w:type="continuationSeparator" w:id="0">
    <w:p w:rsidR="00A205B6" w:rsidRDefault="00A205B6" w:rsidP="006045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79" w:rsidRDefault="00A205B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604579" w:rsidRDefault="00604579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C02F5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155E6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B6" w:rsidRDefault="00A205B6" w:rsidP="00604579">
      <w:pPr>
        <w:spacing w:after="0"/>
      </w:pPr>
      <w:r>
        <w:separator/>
      </w:r>
    </w:p>
  </w:footnote>
  <w:footnote w:type="continuationSeparator" w:id="0">
    <w:p w:rsidR="00A205B6" w:rsidRDefault="00A205B6" w:rsidP="006045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96708C"/>
    <w:multiLevelType w:val="multilevel"/>
    <w:tmpl w:val="C796708C"/>
    <w:lvl w:ilvl="0">
      <w:start w:val="1"/>
      <w:numFmt w:val="upperLetter"/>
      <w:pStyle w:val="a"/>
      <w:suff w:val="nothing"/>
      <w:lvlText w:val="附　录　%1"/>
      <w:lvlJc w:val="left"/>
      <w:pPr>
        <w:ind w:left="4112" w:firstLine="0"/>
      </w:pPr>
      <w:rPr>
        <w:rFonts w:ascii="黑体" w:eastAsia="黑体" w:hAnsi="Times New Roman" w:cs="黑体" w:hint="eastAsia"/>
        <w:b w:val="0"/>
        <w:spacing w:val="0"/>
        <w:w w:val="100"/>
        <w:sz w:val="21"/>
        <w:lang w:val="en-US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黑体" w:hint="eastAsia"/>
        <w:b w:val="0"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">
    <w:nsid w:val="0BB70FCD"/>
    <w:multiLevelType w:val="multilevel"/>
    <w:tmpl w:val="0BB70FCD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F75939"/>
    <w:multiLevelType w:val="multilevel"/>
    <w:tmpl w:val="3EF75939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EFAF5C"/>
    <w:multiLevelType w:val="multilevel"/>
    <w:tmpl w:val="65EFAF5C"/>
    <w:lvl w:ilvl="0">
      <w:start w:val="1"/>
      <w:numFmt w:val="decimal"/>
      <w:suff w:val="nothing"/>
      <w:lvlText w:val="%1　"/>
      <w:lvlJc w:val="left"/>
      <w:pPr>
        <w:ind w:left="142" w:firstLine="0"/>
      </w:pPr>
      <w:rPr>
        <w:rFonts w:ascii="黑体" w:eastAsia="黑体" w:hAnsi="Times New Roman" w:cs="黑体" w:hint="eastAsia"/>
        <w:b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26" w:firstLine="0"/>
        <w:textAlignment w:val="baseline"/>
      </w:pPr>
      <w:rPr>
        <w:rFonts w:ascii="黑体" w:eastAsia="黑体" w:hAnsi="Times New Roman" w:cs="Times New Roman" w:hint="eastAsia"/>
        <w:b w:val="0"/>
        <w:bCs w:val="0"/>
        <w:iCs w:val="0"/>
        <w:caps w:val="0"/>
        <w:strike w:val="0"/>
        <w:dstrike w:val="0"/>
        <w:outline w:val="0"/>
        <w:vanish w:val="0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suff w:val="nothing"/>
      <w:lvlText w:val="%1.%2.%3　"/>
      <w:lvlJc w:val="left"/>
      <w:pPr>
        <w:ind w:left="3827" w:firstLine="0"/>
      </w:pPr>
      <w:rPr>
        <w:rFonts w:ascii="黑体" w:eastAsia="黑体" w:hAnsi="Times New Roman" w:cs="黑体" w:hint="eastAsia"/>
        <w:b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2"/>
  </w:compat>
  <w:rsids>
    <w:rsidRoot w:val="00D31D50"/>
    <w:rsid w:val="00063F2A"/>
    <w:rsid w:val="000977EA"/>
    <w:rsid w:val="000A1D13"/>
    <w:rsid w:val="000B5BC8"/>
    <w:rsid w:val="001441CE"/>
    <w:rsid w:val="001B7601"/>
    <w:rsid w:val="001E2609"/>
    <w:rsid w:val="002A1479"/>
    <w:rsid w:val="002F0D86"/>
    <w:rsid w:val="002F2D69"/>
    <w:rsid w:val="002F331C"/>
    <w:rsid w:val="0032097E"/>
    <w:rsid w:val="00323B43"/>
    <w:rsid w:val="0036391D"/>
    <w:rsid w:val="00376422"/>
    <w:rsid w:val="00390DFD"/>
    <w:rsid w:val="003D37D8"/>
    <w:rsid w:val="003F3D2A"/>
    <w:rsid w:val="00404232"/>
    <w:rsid w:val="00407AFC"/>
    <w:rsid w:val="00421C7D"/>
    <w:rsid w:val="00426133"/>
    <w:rsid w:val="004358AB"/>
    <w:rsid w:val="004517CC"/>
    <w:rsid w:val="004669F0"/>
    <w:rsid w:val="00480C6E"/>
    <w:rsid w:val="004A7438"/>
    <w:rsid w:val="004D6DE0"/>
    <w:rsid w:val="00505EE6"/>
    <w:rsid w:val="00545274"/>
    <w:rsid w:val="005C709E"/>
    <w:rsid w:val="00604579"/>
    <w:rsid w:val="006733C4"/>
    <w:rsid w:val="00721420"/>
    <w:rsid w:val="00782F20"/>
    <w:rsid w:val="007A4E82"/>
    <w:rsid w:val="007E7809"/>
    <w:rsid w:val="008155E6"/>
    <w:rsid w:val="0083330B"/>
    <w:rsid w:val="008339FC"/>
    <w:rsid w:val="00872CE2"/>
    <w:rsid w:val="008B7726"/>
    <w:rsid w:val="008C7CC7"/>
    <w:rsid w:val="009011FC"/>
    <w:rsid w:val="00975BE2"/>
    <w:rsid w:val="00995F24"/>
    <w:rsid w:val="009C6B70"/>
    <w:rsid w:val="009D638F"/>
    <w:rsid w:val="009F4054"/>
    <w:rsid w:val="00A205B6"/>
    <w:rsid w:val="00A84581"/>
    <w:rsid w:val="00A93E3C"/>
    <w:rsid w:val="00AE01EA"/>
    <w:rsid w:val="00AF0B92"/>
    <w:rsid w:val="00B02A85"/>
    <w:rsid w:val="00B72526"/>
    <w:rsid w:val="00C02F5D"/>
    <w:rsid w:val="00C251F5"/>
    <w:rsid w:val="00CB2F08"/>
    <w:rsid w:val="00CB3ECB"/>
    <w:rsid w:val="00D05A29"/>
    <w:rsid w:val="00D110E7"/>
    <w:rsid w:val="00D15C26"/>
    <w:rsid w:val="00D31D50"/>
    <w:rsid w:val="00D41CDE"/>
    <w:rsid w:val="00DE38F8"/>
    <w:rsid w:val="00DF1E90"/>
    <w:rsid w:val="00E15CF3"/>
    <w:rsid w:val="00E25466"/>
    <w:rsid w:val="00E72F81"/>
    <w:rsid w:val="00EB620A"/>
    <w:rsid w:val="00EE4CAF"/>
    <w:rsid w:val="00F103EE"/>
    <w:rsid w:val="00F17804"/>
    <w:rsid w:val="00FC4D6E"/>
    <w:rsid w:val="00FC529F"/>
    <w:rsid w:val="0C3A6DE6"/>
    <w:rsid w:val="105B2C0F"/>
    <w:rsid w:val="12B50844"/>
    <w:rsid w:val="14DD5031"/>
    <w:rsid w:val="15683F3B"/>
    <w:rsid w:val="1C796D07"/>
    <w:rsid w:val="24351FC4"/>
    <w:rsid w:val="25300C90"/>
    <w:rsid w:val="421007A1"/>
    <w:rsid w:val="58C217F8"/>
    <w:rsid w:val="59340549"/>
    <w:rsid w:val="5CAB09EC"/>
    <w:rsid w:val="5E323AB2"/>
    <w:rsid w:val="5EA1545F"/>
    <w:rsid w:val="7021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045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rsid w:val="006045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1"/>
    <w:link w:val="Char0"/>
    <w:uiPriority w:val="99"/>
    <w:unhideWhenUsed/>
    <w:qFormat/>
    <w:rsid w:val="006045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">
    <w:name w:val="toc 1"/>
    <w:basedOn w:val="a1"/>
    <w:next w:val="a1"/>
    <w:qFormat/>
    <w:rsid w:val="00604579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toc 2"/>
    <w:basedOn w:val="a1"/>
    <w:next w:val="a1"/>
    <w:qFormat/>
    <w:rsid w:val="00604579"/>
    <w:pPr>
      <w:widowControl w:val="0"/>
      <w:adjustRightInd/>
      <w:snapToGrid/>
      <w:spacing w:after="0"/>
      <w:ind w:leftChars="200" w:left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7">
    <w:name w:val="Normal (Web)"/>
    <w:basedOn w:val="a1"/>
    <w:uiPriority w:val="99"/>
    <w:unhideWhenUsed/>
    <w:qFormat/>
    <w:rsid w:val="00604579"/>
    <w:rPr>
      <w:sz w:val="24"/>
    </w:rPr>
  </w:style>
  <w:style w:type="paragraph" w:customStyle="1" w:styleId="a">
    <w:name w:val="附录标识"/>
    <w:basedOn w:val="a1"/>
    <w:next w:val="a1"/>
    <w:rsid w:val="00604579"/>
    <w:pPr>
      <w:keepNext/>
      <w:numPr>
        <w:numId w:val="1"/>
      </w:numPr>
      <w:shd w:val="clear" w:color="auto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 w:hint="eastAsia"/>
      <w:sz w:val="21"/>
      <w:szCs w:val="20"/>
    </w:rPr>
  </w:style>
  <w:style w:type="paragraph" w:customStyle="1" w:styleId="a8">
    <w:name w:val="段"/>
    <w:basedOn w:val="a1"/>
    <w:link w:val="Char1"/>
    <w:qFormat/>
    <w:rsid w:val="00604579"/>
    <w:pPr>
      <w:tabs>
        <w:tab w:val="center" w:pos="4201"/>
        <w:tab w:val="right" w:leader="dot" w:pos="9298"/>
      </w:tabs>
      <w:autoSpaceDE w:val="0"/>
      <w:autoSpaceDN w:val="0"/>
      <w:spacing w:after="0"/>
      <w:ind w:firstLineChars="200" w:firstLine="420"/>
      <w:jc w:val="both"/>
    </w:pPr>
    <w:rPr>
      <w:rFonts w:ascii="宋体" w:eastAsia="宋体" w:hAnsi="Times New Roman" w:cs="Times New Roman" w:hint="eastAsia"/>
      <w:sz w:val="21"/>
      <w:szCs w:val="20"/>
    </w:rPr>
  </w:style>
  <w:style w:type="character" w:customStyle="1" w:styleId="Char1">
    <w:name w:val="段 Char"/>
    <w:basedOn w:val="a2"/>
    <w:link w:val="a8"/>
    <w:qFormat/>
    <w:rsid w:val="00604579"/>
    <w:rPr>
      <w:rFonts w:ascii="宋体" w:eastAsia="宋体" w:hAnsi="宋体" w:cs="宋体" w:hint="eastAsia"/>
      <w:sz w:val="21"/>
    </w:rPr>
  </w:style>
  <w:style w:type="paragraph" w:customStyle="1" w:styleId="a0">
    <w:name w:val="一级条标题"/>
    <w:basedOn w:val="a1"/>
    <w:next w:val="a8"/>
    <w:qFormat/>
    <w:rsid w:val="00604579"/>
    <w:pPr>
      <w:numPr>
        <w:ilvl w:val="1"/>
        <w:numId w:val="2"/>
      </w:numPr>
      <w:spacing w:beforeLines="50" w:afterLines="50"/>
      <w:ind w:left="142"/>
      <w:outlineLvl w:val="2"/>
    </w:pPr>
    <w:rPr>
      <w:rFonts w:ascii="黑体" w:eastAsia="黑体" w:hAnsi="Times New Roman" w:cs="Times New Roman" w:hint="eastAsia"/>
      <w:sz w:val="21"/>
      <w:szCs w:val="21"/>
    </w:rPr>
  </w:style>
  <w:style w:type="character" w:customStyle="1" w:styleId="Char0">
    <w:name w:val="页眉 Char"/>
    <w:basedOn w:val="a2"/>
    <w:link w:val="a6"/>
    <w:uiPriority w:val="99"/>
    <w:qFormat/>
    <w:rsid w:val="00604579"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2"/>
    <w:link w:val="a5"/>
    <w:uiPriority w:val="99"/>
    <w:qFormat/>
    <w:rsid w:val="00604579"/>
    <w:rPr>
      <w:rFonts w:ascii="Tahoma" w:eastAsia="微软雅黑" w:hAnsi="Tahoma" w:cstheme="minorBidi"/>
      <w:sz w:val="18"/>
      <w:szCs w:val="18"/>
    </w:rPr>
  </w:style>
  <w:style w:type="paragraph" w:styleId="a9">
    <w:name w:val="List Paragraph"/>
    <w:basedOn w:val="a1"/>
    <w:uiPriority w:val="99"/>
    <w:unhideWhenUsed/>
    <w:qFormat/>
    <w:rsid w:val="00604579"/>
    <w:pPr>
      <w:ind w:firstLineChars="200" w:firstLine="420"/>
    </w:pPr>
  </w:style>
  <w:style w:type="paragraph" w:styleId="aa">
    <w:name w:val="Balloon Text"/>
    <w:basedOn w:val="a1"/>
    <w:link w:val="Char2"/>
    <w:uiPriority w:val="99"/>
    <w:semiHidden/>
    <w:unhideWhenUsed/>
    <w:rsid w:val="009F4054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2"/>
    <w:link w:val="aa"/>
    <w:uiPriority w:val="99"/>
    <w:semiHidden/>
    <w:rsid w:val="009F4054"/>
    <w:rPr>
      <w:rFonts w:ascii="Tahoma" w:eastAsia="微软雅黑" w:hAnsi="Tahoma" w:cstheme="minorBidi"/>
      <w:sz w:val="18"/>
      <w:szCs w:val="18"/>
    </w:rPr>
  </w:style>
  <w:style w:type="character" w:styleId="ab">
    <w:name w:val="Hyperlink"/>
    <w:basedOn w:val="a2"/>
    <w:uiPriority w:val="99"/>
    <w:unhideWhenUsed/>
    <w:rsid w:val="008333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44</cp:revision>
  <cp:lastPrinted>2020-10-12T08:25:00Z</cp:lastPrinted>
  <dcterms:created xsi:type="dcterms:W3CDTF">2008-09-11T17:20:00Z</dcterms:created>
  <dcterms:modified xsi:type="dcterms:W3CDTF">2020-10-13T03:27:00Z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