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黑体" w:hAnsi="黑体" w:eastAsia="黑体" w:cs="黑体"/>
          <w:bCs/>
          <w:color w:val="FF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附件2</w:t>
      </w:r>
    </w:p>
    <w:p>
      <w:pPr>
        <w:snapToGrid w:val="0"/>
        <w:spacing w:line="560" w:lineRule="exact"/>
        <w:ind w:firstLine="643" w:firstLineChars="200"/>
        <w:rPr>
          <w:rFonts w:ascii="仿宋_GB2312" w:hAnsi="Calibri" w:eastAsia="仿宋_GB2312" w:cs="Times New Roman"/>
          <w:b/>
          <w:color w:val="FF0000"/>
          <w:sz w:val="32"/>
          <w:szCs w:val="32"/>
          <w:highlight w:val="none"/>
        </w:rPr>
      </w:pP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自然科学研究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职称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评价标准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条件</w:t>
      </w:r>
    </w:p>
    <w:p>
      <w:pPr>
        <w:snapToGrid w:val="0"/>
        <w:spacing w:after="312" w:afterLines="100" w:line="560" w:lineRule="exact"/>
        <w:jc w:val="center"/>
        <w:rPr>
          <w:rFonts w:ascii="仿宋_GB2312" w:hAnsi="Calibri" w:eastAsia="仿宋_GB2312" w:cs="Times New Roman"/>
          <w:b/>
          <w:color w:val="FF000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指标解释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1.凡冠有“以上”的，均含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本级或本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数量。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2.“核心期刊”指全国中文核心期刊、中国科技核心期刊和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中国科技期刊卓越行动计划入选期刊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中国科学引文数据库来源期刊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。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全国中文核心期刊指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北京大学图书馆出版的《中文核心期刊要目总览》中所评选出的期刊；中国科技核心期刊指中国科学技术信息研究所出版的“中国科技论文统计源期刊”。 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“期刊”“公开发行的学术刊物”主要指经新闻出版部门批准，在我国境内出版的具有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ISSN刊号和CN刊号的期刊。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3.“专著、译著”指具有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ISBN国际标准书号和CIP数据核字号，公开出版发行的专业研究性合法书籍，不包括一个单位、一个系统出版的论文集、讲话集、报告集等。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4.“主持”或“第一完成人”指该项目或课题的总负责人，负责该奖项、项目或课题等的全面工作，应排名第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1位；“主要完成人”指奖项、项目或课题等的主持人或主要参与者，应排名前3位。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5.“省级”“市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级”等表述，指行政区划的省、设区的市党委、政府及其组成部门（单位），以及人大、政协机关或同等级的有关部门、机构等。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本标准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highlight w:val="none"/>
        </w:rPr>
        <w:t>条件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所指表彰，是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highlight w:val="none"/>
        </w:rPr>
        <w:t>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党的机关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人大机关、行政机关、政协机关、监察机关、审判机关、检察机关、人民团体和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highlight w:val="none"/>
        </w:rPr>
        <w:t>经批准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免于登记的社会团体及其所属单位经党中央、国务院或省委、省政府批准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highlight w:val="none"/>
        </w:rPr>
        <w:t>举办的面向各级各部门或者本系统本行业的各类评比达标表彰活动。</w:t>
      </w:r>
    </w:p>
    <w:p>
      <w:pPr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.学历</w:t>
      </w:r>
      <w:r>
        <w:rPr>
          <w:rFonts w:ascii="仿宋_GB2312" w:hAnsi="Calibri" w:eastAsia="仿宋_GB2312" w:cs="Times New Roman"/>
          <w:sz w:val="32"/>
          <w:szCs w:val="32"/>
          <w:highlight w:val="none"/>
        </w:rPr>
        <w:t>认定根据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国家</w:t>
      </w:r>
      <w:r>
        <w:rPr>
          <w:rFonts w:ascii="仿宋_GB2312" w:hAnsi="Calibri" w:eastAsia="仿宋_GB2312" w:cs="Times New Roman"/>
          <w:sz w:val="32"/>
          <w:szCs w:val="32"/>
          <w:highlight w:val="none"/>
        </w:rPr>
        <w:t>有关政策执行。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.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文中各职称层级所列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业绩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条件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，其中基础</w:t>
      </w:r>
      <w:r>
        <w:rPr>
          <w:rFonts w:ascii="仿宋_GB2312" w:hAnsi="Calibri" w:eastAsia="仿宋_GB2312" w:cs="Times New Roman"/>
          <w:sz w:val="32"/>
          <w:szCs w:val="32"/>
          <w:highlight w:val="none"/>
        </w:rPr>
        <w:t>研究侧重（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1</w:t>
      </w:r>
      <w:r>
        <w:rPr>
          <w:rFonts w:ascii="仿宋_GB2312" w:hAnsi="Calibri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（2）（4）项</w:t>
      </w:r>
      <w:r>
        <w:rPr>
          <w:rFonts w:ascii="仿宋_GB2312" w:hAnsi="Calibri" w:eastAsia="仿宋_GB2312" w:cs="Times New Roman"/>
          <w:sz w:val="32"/>
          <w:szCs w:val="32"/>
          <w:highlight w:val="none"/>
        </w:rPr>
        <w:t>，应用研究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与</w:t>
      </w:r>
      <w:r>
        <w:rPr>
          <w:rFonts w:ascii="仿宋_GB2312" w:hAnsi="Calibri" w:eastAsia="仿宋_GB2312" w:cs="Times New Roman"/>
          <w:sz w:val="32"/>
          <w:szCs w:val="32"/>
          <w:highlight w:val="none"/>
        </w:rPr>
        <w:t>技术开发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推广</w:t>
      </w:r>
      <w:r>
        <w:rPr>
          <w:rFonts w:ascii="仿宋_GB2312" w:hAnsi="Calibri" w:eastAsia="仿宋_GB2312" w:cs="Times New Roman"/>
          <w:sz w:val="32"/>
          <w:szCs w:val="32"/>
          <w:highlight w:val="none"/>
        </w:rPr>
        <w:t>侧重（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1</w:t>
      </w:r>
      <w:r>
        <w:rPr>
          <w:rFonts w:ascii="仿宋_GB2312" w:hAnsi="Calibri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（2）（3）（4）项</w:t>
      </w:r>
      <w:r>
        <w:rPr>
          <w:rFonts w:ascii="仿宋_GB2312" w:hAnsi="Calibri" w:eastAsia="仿宋_GB2312" w:cs="Times New Roman"/>
          <w:sz w:val="32"/>
          <w:szCs w:val="32"/>
          <w:highlight w:val="none"/>
        </w:rPr>
        <w:t>，科技咨询与科技管理服务侧重（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1</w:t>
      </w:r>
      <w:r>
        <w:rPr>
          <w:rFonts w:ascii="仿宋_GB2312" w:hAnsi="Calibri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（2）（5）（6）项，</w:t>
      </w:r>
      <w:r>
        <w:rPr>
          <w:rFonts w:ascii="仿宋_GB2312" w:hAnsi="Calibri" w:eastAsia="仿宋_GB2312" w:cs="Times New Roman"/>
          <w:sz w:val="32"/>
          <w:szCs w:val="32"/>
          <w:highlight w:val="none"/>
        </w:rPr>
        <w:t>技术经纪侧重（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1</w:t>
      </w:r>
      <w:r>
        <w:rPr>
          <w:rFonts w:ascii="仿宋_GB2312" w:hAnsi="Calibri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（7）项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9.本标准条件所指“满足下列条件之一”中：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与本专业有关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报告、方案、规划等，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指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与本专业有关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调研报告、项目可行性分析报告、技术咨询报告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改革方案、重大专业活动策划执行方案、事业发展规划等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专业学术会议（论坛）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及各类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论文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均需附会议及论文原件证明和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检索报告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同行知名专家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指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获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得自然科学研究系列的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正高级职称满10年或正高三级岗位以上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的专家；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高质量成果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指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具有重大学术影响、取得显著应用效果、为经济社会发展和国家安全作出突出贡献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的成果。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10.本标准条件所指“具备下列业绩之一”中：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技术转移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成果转化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转化营业收入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等，均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需提供与企业或高校院所等被服务方签订的服务项目协议、技术合同、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技术或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成果权属证明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具有资质的中介机构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出具的技术转移或者成果转化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收入专项审计或鉴证报告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发票及入账银行回单原件、单位证明等相关材料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横向课题经费需提供单位财务证明、技术合同等相关材料；初创型企业获得天使投资或风险投资需提供与本人直接相关的证明、投资协议或股权变更书、到账凭证等相关材料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科研项目，均需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经主管部门验收通过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提出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重要的创新思路和方法</w:t>
      </w:r>
      <w:r>
        <w:rPr>
          <w:rFonts w:hint="eastAsia" w:ascii="仿宋_GB2312" w:hAnsi="Calibri" w:eastAsia="仿宋_GB2312" w:cs="Times New Roman"/>
          <w:bCs/>
          <w:sz w:val="32"/>
          <w:szCs w:val="32"/>
          <w:highlight w:val="none"/>
        </w:rPr>
        <w:t>被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Calibri" w:eastAsia="仿宋_GB2312" w:cs="Times New Roman"/>
          <w:bCs/>
          <w:sz w:val="32"/>
          <w:szCs w:val="32"/>
          <w:highlight w:val="none"/>
        </w:rPr>
        <w:t>采纳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Calibri" w:eastAsia="仿宋_GB2312" w:cs="Times New Roman"/>
          <w:bCs/>
          <w:sz w:val="32"/>
          <w:szCs w:val="32"/>
          <w:highlight w:val="none"/>
        </w:rPr>
        <w:t>省部级单位采纳1项视同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仿宋_GB2312" w:hAnsi="Calibri" w:eastAsia="仿宋_GB2312" w:cs="Times New Roman"/>
          <w:bCs/>
          <w:sz w:val="32"/>
          <w:szCs w:val="32"/>
          <w:highlight w:val="none"/>
        </w:rPr>
        <w:t>厅级单位采纳2项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61A9C"/>
    <w:rsid w:val="42B61A9C"/>
    <w:rsid w:val="4F41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2021-12-24T09:04:00Z</dcterms:created>
  <dc:creator>CH</dc:creator>
  <cp:lastModifiedBy>CH</cp:lastModifiedBy>
  <dcterms:modified xsi:type="dcterms:W3CDTF">2021-12-24T09:04:38Z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