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pacing w:line="240" w:lineRule="auto"/>
        <w:ind w:firstLine="0"/>
        <w:rPr>
          <w:rFonts w:hint="default" w:ascii="Times New Roman" w:hAnsi="Times New Roman" w:eastAsia="黑体" w:cs="Times New Roman"/>
          <w:bCs/>
          <w:snapToGrid/>
          <w:kern w:val="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napToGrid/>
          <w:kern w:val="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napToGrid/>
          <w:kern w:val="2"/>
          <w:szCs w:val="32"/>
          <w:lang w:val="en-US" w:eastAsia="zh-CN"/>
        </w:rPr>
        <w:t>2</w:t>
      </w:r>
    </w:p>
    <w:p>
      <w:pPr>
        <w:autoSpaceDE/>
        <w:autoSpaceDN/>
        <w:adjustRightInd w:val="0"/>
        <w:spacing w:line="240" w:lineRule="auto"/>
        <w:ind w:firstLine="0"/>
        <w:jc w:val="center"/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实验动物使用许可证名单（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2022年第一批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）</w:t>
      </w:r>
    </w:p>
    <w:p>
      <w:pPr>
        <w:autoSpaceDE/>
        <w:autoSpaceDN/>
        <w:adjustRightInd w:val="0"/>
        <w:spacing w:line="240" w:lineRule="auto"/>
        <w:ind w:firstLine="0"/>
        <w:jc w:val="center"/>
        <w:rPr>
          <w:rFonts w:hint="default" w:ascii="Times New Roman" w:hAnsi="Times New Roman" w:eastAsia="方正小标宋简体" w:cs="Times New Roman"/>
          <w:bCs/>
          <w:snapToGrid/>
          <w:kern w:val="2"/>
          <w:sz w:val="10"/>
          <w:szCs w:val="10"/>
        </w:rPr>
      </w:pPr>
    </w:p>
    <w:tbl>
      <w:tblPr>
        <w:tblStyle w:val="2"/>
        <w:tblW w:w="13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370"/>
        <w:gridCol w:w="1755"/>
        <w:gridCol w:w="1037"/>
        <w:gridCol w:w="2393"/>
        <w:gridCol w:w="2719"/>
        <w:gridCol w:w="3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  <w:t>序号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  <w:t>许可证号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  <w:t>代表人</w:t>
            </w:r>
          </w:p>
        </w:tc>
        <w:tc>
          <w:tcPr>
            <w:tcW w:w="2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  <w:t>设施地址</w:t>
            </w:r>
          </w:p>
        </w:tc>
        <w:tc>
          <w:tcPr>
            <w:tcW w:w="59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  <w:t>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SYXK(鲁) 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持正检测（山东）有限公司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刘洪兵</w:t>
            </w:r>
          </w:p>
        </w:tc>
        <w:tc>
          <w:tcPr>
            <w:tcW w:w="2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山东省济南市章丘区赭山南路赭山工业园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普通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环境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普通级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兔、豚鼠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SYXK(鲁) 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山东大学齐鲁医院（青岛）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焉传祝</w:t>
            </w:r>
          </w:p>
        </w:tc>
        <w:tc>
          <w:tcPr>
            <w:tcW w:w="2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山东省青岛市市北区合肥路758号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普通环境+IVC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SPF级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：大鼠、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小鼠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</w:rPr>
            </w:pPr>
          </w:p>
        </w:tc>
        <w:tc>
          <w:tcPr>
            <w:tcW w:w="13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SYXK(鲁) 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17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烟台爱士津动物保健品有限公司</w:t>
            </w:r>
          </w:p>
        </w:tc>
        <w:tc>
          <w:tcPr>
            <w:tcW w:w="10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袁会先</w:t>
            </w:r>
          </w:p>
        </w:tc>
        <w:tc>
          <w:tcPr>
            <w:tcW w:w="23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烟台市爱士津动物保健品有限公司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普通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环境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普通级：兔、猪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普通环境+IVC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SPF级：小鼠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正压屏障环境+正压隔离器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SPF级：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负压屏障环境+负压隔离器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SPF级：鸡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SYXK(鲁) 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青岛诺安百特生物技术有限公司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潘强</w:t>
            </w:r>
          </w:p>
        </w:tc>
        <w:tc>
          <w:tcPr>
            <w:tcW w:w="2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青岛市城阳区祥阳路106号6号楼</w:t>
            </w:r>
          </w:p>
        </w:tc>
        <w:tc>
          <w:tcPr>
            <w:tcW w:w="2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负压屏障环境+负压隔离器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SPF级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鸡、鸭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DCA164"/>
    <w:multiLevelType w:val="multilevel"/>
    <w:tmpl w:val="39DCA164"/>
    <w:lvl w:ilvl="0" w:tentative="0">
      <w:start w:val="1"/>
      <w:numFmt w:val="decimal"/>
      <w:lvlText w:val="%1"/>
      <w:lvlJc w:val="left"/>
      <w:pPr>
        <w:tabs>
          <w:tab w:val="left" w:pos="0"/>
        </w:tabs>
        <w:ind w:left="1134" w:hanging="71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0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2022-01-24T09:42:53Z</dcterms:created>
  <dc:creator>CH</dc:creator>
  <cp:lastModifiedBy>CH</cp:lastModifiedBy>
  <dcterms:modified xsi:type="dcterms:W3CDTF">2022-01-24T09:43:18Z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2FDBC0CB6FEE4C05A36DA7D9DB8082D4</vt:lpwstr>
  </property>
</Properties>
</file>