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附件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省级重点人才工程清单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一、第一层次（</w:t>
      </w:r>
      <w:r>
        <w:rPr>
          <w:rFonts w:ascii="Times New Roman" w:hAnsi="Times New Roman" w:eastAsia="黑体" w:cs="Times New Roman"/>
          <w:bCs/>
          <w:sz w:val="36"/>
          <w:szCs w:val="36"/>
        </w:rPr>
        <w:t>4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1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.泰山学者工程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2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.泰山产业领军人才工程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.齐鲁文化名家工程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4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.山东省有突出贡献的中青年专家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二、第二层次（8个）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1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.齐鲁文化英才工程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2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.山东省重点扶持区域引进急需紧缺人才项目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.外专双百计划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4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.齐鲁和谐使者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5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.齐鲁首席技师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6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.齐鲁乡村之星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6"/>
          <w:szCs w:val="36"/>
        </w:rPr>
        <w:t>7</w:t>
      </w: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.齐鲁卫生与健康领军人才培育工程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8.山东省金融高端人才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三、第三层次（9个）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1.齐鲁文化之星工程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2.齐鲁公安英才建设工程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3.山东省高端会计人才选拔培养工程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4.山东省有突出贡献的技师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5.山东省现代农业产业技术体系创新团队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6.齐鲁基层名医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7.山东省基层统计人才培育工程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8.齐鲁金融之星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contextualSpacing/>
        <w:textAlignment w:val="auto"/>
        <w:rPr>
          <w:rFonts w:ascii="Times New Roman" w:hAnsi="Times New Roman"/>
          <w:bCs/>
          <w:sz w:val="36"/>
          <w:szCs w:val="36"/>
        </w:rPr>
      </w:pPr>
      <w:r>
        <w:rPr>
          <w:rFonts w:hint="eastAsia" w:ascii="Times New Roman" w:hAnsi="Times New Roman" w:eastAsia="仿宋_GB2312" w:cs="Times New Roman"/>
          <w:bCs/>
          <w:sz w:val="36"/>
          <w:szCs w:val="36"/>
        </w:rPr>
        <w:t>9.智库高端人才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2679C"/>
    <w:rsid w:val="32C73DAF"/>
    <w:rsid w:val="579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2020-07-13T08:28:00Z</dcterms:created>
  <dc:creator>CH</dc:creator>
  <cp:lastModifiedBy>CH</cp:lastModifiedBy>
  <dcterms:modified xsi:type="dcterms:W3CDTF">2020-07-13T08:28:46Z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