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2023年度</w:t>
      </w: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山东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省临床医学研究中心名单</w:t>
      </w:r>
    </w:p>
    <w:tbl>
      <w:tblPr>
        <w:tblStyle w:val="5"/>
        <w:tblpPr w:leftFromText="180" w:rightFromText="180" w:vertAnchor="text" w:horzAnchor="page" w:tblpXSpec="center" w:tblpY="260"/>
        <w:tblOverlap w:val="never"/>
        <w:tblW w:w="13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510"/>
        <w:gridCol w:w="2494"/>
        <w:gridCol w:w="443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中心名称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牵头建设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联合建设单位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山东省麻醉医学</w:t>
            </w:r>
          </w:p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临床医学研究中心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山东第一医科大学第一附属医院（山东省千佛山医院）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山东第一医科大学附属省立医院</w:t>
            </w:r>
          </w:p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山东大学</w:t>
            </w:r>
          </w:p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齐鲁制药有限公司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  <w:lang w:val="en-US" w:eastAsia="zh-CN"/>
              </w:rPr>
              <w:t>山东省卫生健康委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山东省老年</w:t>
            </w: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  <w:lang w:val="en-US" w:eastAsia="zh-CN"/>
              </w:rPr>
              <w:t>疾</w:t>
            </w: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病</w:t>
            </w:r>
          </w:p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临床医学研究中心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临沂市人民医院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山东第一医科大学附属省立医院</w:t>
            </w:r>
          </w:p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潍坊医学院</w:t>
            </w:r>
          </w:p>
          <w:p>
            <w:pPr>
              <w:autoSpaceDE w:val="0"/>
              <w:autoSpaceDN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山东罗欣药业集团股份有限公司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32"/>
                <w:szCs w:val="32"/>
              </w:rPr>
              <w:t>临沂市科学技术局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3393620"/>
    <w:rsid w:val="13393620"/>
    <w:rsid w:val="322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2024-01-05T08:17:00Z</dcterms:created>
  <dc:creator>'Always</dc:creator>
  <cp:lastModifiedBy>'Always</cp:lastModifiedBy>
  <dcterms:modified xsi:type="dcterms:W3CDTF">2024-01-05T08:18:00Z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4381A9B5DD6242CE838E215AE4786BD8_11</vt:lpwstr>
  </property>
</Properties>
</file>