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附件2: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国家火炬×××特色产业基地发展报告（2020）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撰写提纲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一、2020年度火炬基地建设与发展成效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主要从以下几个方面进行分析：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火炬基地发展的总体状况，包括产业领域、产业布局，特色主导产业情况等；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火炬基地经济产出情况，包括工业总产值、总营业收入、上缴税额、净利润、出口创汇情况；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人员情况，包括员工总人数、本年度创造就业岗位数、吸纳大学生就业人数、本科以上学历职工数等；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科技活动情况，包括科技投入情况，技术合同交易情况、科技成果转化情况、知识产权保护情况、技术标准研制情况、产学研合作情况、建立的研发机构情况等；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社会效益情况，包括企业孵化培育情况、服务企业情况等；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重点案例。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二、2020年度火炬基地运营管理模式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三、2020年度火炬基地建设的主要政策措施情况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从推动产业结构优化升级、关键技术突破、人才引进等方面介绍2020年度为推动火炬基地高质量发展所制定的政策和措施。（如有公开文件，请附送文件复印件）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四、火炬基地建设的主要经验、问题与挑战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五、2021年度火炬基地工作安排</w:t>
      </w:r>
    </w:p>
    <w:p>
      <w:pPr>
        <w:ind w:firstLine="640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szCs w:val="32"/>
        </w:rPr>
        <w:t>“十四五”时期是开启全面建设社会主义现代化国家新征程的关键时期。深刻领会十九届五中全会、中央经济工作会、全国科技大会等精神，火炬基地建设须准确把握“十四五”国家在变局中开新局的重大节点，以及新时代科技创新的阶段性特征，</w:t>
      </w:r>
      <w:r>
        <w:rPr>
          <w:rFonts w:hint="eastAsia" w:ascii="仿宋" w:hAnsi="仿宋" w:eastAsia="仿宋" w:cs="仿宋"/>
          <w:bCs/>
          <w:szCs w:val="32"/>
        </w:rPr>
        <w:t>以服务国家战略为导向，构建区域科技、经济融通发展新格局。</w:t>
      </w:r>
    </w:p>
    <w:p>
      <w:pPr>
        <w:ind w:firstLine="960" w:firstLineChars="3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仿宋" w:hAnsi="仿宋" w:eastAsia="仿宋" w:cs="仿宋"/>
          <w:szCs w:val="32"/>
        </w:rPr>
        <w:t>请各基地结合新形势、新格局，提出2021年火炬基地工作计划，坚持以产业创新、绿色发展为主线，紧密结合乡村振兴、城镇化等战略，</w:t>
      </w:r>
      <w:r>
        <w:rPr>
          <w:rFonts w:hint="eastAsia" w:ascii="仿宋_GB2312" w:hAnsi="仿宋" w:cs="Times New Roman"/>
          <w:szCs w:val="32"/>
        </w:rPr>
        <w:t>明确各特色产业“十四五”的发展方向、重点任务以及保障措施，着力</w:t>
      </w:r>
      <w:r>
        <w:rPr>
          <w:rFonts w:hint="eastAsia" w:ascii="仿宋" w:hAnsi="仿宋" w:eastAsia="仿宋" w:cs="仿宋"/>
          <w:szCs w:val="32"/>
        </w:rPr>
        <w:t>推动基地特色产业高质量发展，使火炬基地真正成为区域（县域）经济高质量发展的品牌及抓手。</w:t>
      </w:r>
      <w:r>
        <w:rPr>
          <w:rFonts w:hint="eastAsia" w:ascii="宋体" w:hAnsi="宋体" w:eastAsia="宋体" w:cs="Times New Roman"/>
          <w:sz w:val="28"/>
          <w:szCs w:val="28"/>
        </w:rPr>
        <w:t xml:space="preserve">       </w:t>
      </w:r>
    </w:p>
    <w:p>
      <w:pPr>
        <w:rPr>
          <w:rFonts w:ascii="Calibri" w:hAnsi="Calibri" w:eastAsia="宋体" w:cs="Times New Roman"/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5269F4"/>
    <w:multiLevelType w:val="singleLevel"/>
    <w:tmpl w:val="DA5269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14262"/>
    <w:rsid w:val="31C14262"/>
    <w:rsid w:val="686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2021-06-11T08:05:00Z</dcterms:created>
  <dc:creator>CH</dc:creator>
  <cp:lastModifiedBy>CH</cp:lastModifiedBy>
  <dcterms:modified xsi:type="dcterms:W3CDTF">2021-06-11T08:05:30Z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