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920" w:hanging="1920" w:hangingChars="6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afterLines="0" w:line="560" w:lineRule="exact"/>
        <w:ind w:left="1920" w:hanging="2160" w:hangingChars="600"/>
        <w:jc w:val="left"/>
        <w:rPr>
          <w:rFonts w:ascii="方正小标宋简体" w:hAnsi="仿宋" w:eastAsia="方正小标宋简体" w:cs="仿宋"/>
          <w:sz w:val="36"/>
          <w:szCs w:val="36"/>
        </w:rPr>
      </w:pPr>
    </w:p>
    <w:p>
      <w:pPr>
        <w:spacing w:afterLines="100" w:line="540" w:lineRule="exact"/>
        <w:ind w:left="2160" w:hanging="2640" w:hangingChars="60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202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"/>
          <w:sz w:val="44"/>
          <w:szCs w:val="44"/>
        </w:rPr>
        <w:t>年省级技术转移服务机构拟备案名单</w:t>
      </w:r>
    </w:p>
    <w:tbl>
      <w:tblPr>
        <w:tblStyle w:val="5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5913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北京理工大学前沿技术研究院成果转化中心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同惠技术转移（枣庄市山亭区）有限公司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枣庄同惠信息技术有限公司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山东省烟台市农业科学研究院对外合作处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烟台哈尔滨工程大学研究院校企合作办公室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中科（潍坊）创新园有限公司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济宁学院科研处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山东肥当家投资有限公司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新泰众成科技有限公司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山东华宇工学院知识产权信息服务中心</w:t>
            </w:r>
          </w:p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（科技成果转移转化中心）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齐鲁理工学院科研处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山东省医疗器械和药品包装检验研究院</w:t>
            </w:r>
          </w:p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科技成果转化服务中心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山东省药品监督管理局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E1B5A30"/>
    <w:rsid w:val="047A14E6"/>
    <w:rsid w:val="7E1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2024-07-30T06:57:00Z</dcterms:created>
  <dc:creator>'Always</dc:creator>
  <cp:lastModifiedBy>'Always</cp:lastModifiedBy>
  <dcterms:modified xsi:type="dcterms:W3CDTF">2024-07-30T06:57:40Z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BCD618FB3B144E6DB5DD63667CEE4E0C_11</vt:lpwstr>
  </property>
</Properties>
</file>