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>
      <w:pPr>
        <w:spacing w:before="120" w:beforeLines="50" w:after="120"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任务分工表</w:t>
      </w:r>
    </w:p>
    <w:tbl>
      <w:tblPr>
        <w:tblStyle w:val="3"/>
        <w:tblW w:w="9396" w:type="dxa"/>
        <w:tblInd w:w="-3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393"/>
        <w:gridCol w:w="5064"/>
        <w:gridCol w:w="21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8"/>
                <w:szCs w:val="28"/>
              </w:rPr>
              <w:t>重点任务</w:t>
            </w:r>
          </w:p>
        </w:tc>
        <w:tc>
          <w:tcPr>
            <w:tcW w:w="5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8"/>
                <w:szCs w:val="28"/>
              </w:rPr>
              <w:t>主要内容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kern w:val="0"/>
                <w:sz w:val="28"/>
                <w:szCs w:val="28"/>
              </w:rPr>
              <w:t>责任部门、单位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支持科技型文化企业发展</w:t>
            </w:r>
          </w:p>
        </w:tc>
        <w:tc>
          <w:tcPr>
            <w:tcW w:w="5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鼓励文化企业申报科技型中小企业、高新技术企业、创新型领军企业，加大普惠性政策实施力度。推动符合条件的文化企业进入省培育库和信息库，按有关规定给予培育奖励。鼓励支持高等院校和科研机构、重点园区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(基地)建设文化领域科技企业孵化器。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省科技厅、省委宣传部牵头，省文化和旅游厅、省广播电视局、省财政厅、省税务局配合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9" w:hRule="atLeast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打造示范基地和领军企业</w:t>
            </w:r>
          </w:p>
        </w:tc>
        <w:tc>
          <w:tcPr>
            <w:tcW w:w="5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制定实施省级文化和科技融合示范基地、领军企业管理办法，每年组织评选一批省级文化和科技融合示范基地、领军企业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,培育科技型文化产业集群。争创一批文化领域国家科技创新基地、国家文化和科技融合示范基地、国家文化和科技融合领军企业。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省科技厅、省委宣传部牵头，省委网信办、省文化和旅游厅、省广播电视局、省财政厅配合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8" w:hRule="atLeast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强化国有文化企业创新导向</w:t>
            </w:r>
          </w:p>
        </w:tc>
        <w:tc>
          <w:tcPr>
            <w:tcW w:w="5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省属国有文化企业获得国家级、省级重大科技专项立项，且省级资助经费在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300万元以上，其负责人作为项目直接负责人的，省委宣传部、省财政厅在当年度“双效”绩效考核时，可酌情在社会效益考核指标中给予一定加分。对国有文化企业建立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重大创新平台等研究开发费用和引进高端人才费用，考核时视同实现利润。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省委宣传部牵头，省财政厅配合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加强文化领域共性关键技术研发</w:t>
            </w:r>
          </w:p>
        </w:tc>
        <w:tc>
          <w:tcPr>
            <w:tcW w:w="5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支持文化企业申报省省级科技计划，支持文化企业、高校、科研机构联合参与制定国家和国际文化行业技术标准。加强高端文化装备研发及产业化。支持开展绿色印刷等技术、装备和材料研发与应用。推动物联网、现代物流等技术、产品与装备在新闻出版领域的集成应用，构建新闻出版业现代供应链体系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省科技厅牵头，省委宣传部、省文化和旅游厅、省财政厅、省广播电视局配合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培育“互联网</w:t>
            </w: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+”新型文化业态</w:t>
            </w:r>
          </w:p>
        </w:tc>
        <w:tc>
          <w:tcPr>
            <w:tcW w:w="5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利用智能信息技术，推动文化产业新业态、新模式发展。加快文化服务业智能化升级，支持互联网信息技术在传统文化产业中的应用。推动“智慧广电”云平台建设。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-120" w:rightChars="-57"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省委宣传部牵头，省文化和旅游厅、省广播电视局、省科技厅配合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推动媒体深度融合发展</w:t>
            </w:r>
          </w:p>
        </w:tc>
        <w:tc>
          <w:tcPr>
            <w:tcW w:w="5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加快全省新闻媒体网络化改造，支持县级融媒体中心省级技术平台技术升级，打造“内容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+平台+终端”的新型新闻内容生产和传播体系。支持省市主要媒体新闻客户端探索使用信息技术，建设人工智能舆情分析平台。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省委宣传部牵头，省委网信办、省广播电视局、省文化和旅游厅配合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6" w:hRule="atLeast"/>
        </w:trPr>
        <w:tc>
          <w:tcPr>
            <w:tcW w:w="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3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打造公共文化资源数字化平台</w:t>
            </w:r>
          </w:p>
        </w:tc>
        <w:tc>
          <w:tcPr>
            <w:tcW w:w="5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参与国家文化大数据体系工程建设，加快齐鲁文化分中心平台和齐鲁文化数据库建设。加快省智慧文旅融合大数据中心建设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,建立全省文化和旅游消费数据监测体系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。支持山东广电网络打造文化专网。推动文化场馆开展珍贵文物、重点展品、古籍珍本的数字化工作。创新公共文化服务供给模式，建设公共文化服务“齐鲁文化云”平台，优化“齐鲁艺票通”信息平台。</w:t>
            </w:r>
          </w:p>
        </w:tc>
        <w:tc>
          <w:tcPr>
            <w:tcW w:w="2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省文化和旅游厅牵头，省委宣传部、省广播电视局、省科技厅配合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5" w:hRule="atLeast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打造公共信息技术服务平台</w:t>
            </w:r>
          </w:p>
        </w:tc>
        <w:tc>
          <w:tcPr>
            <w:tcW w:w="5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支持国家重点实验室、研究中心及产业园区建设，构建面向相关领域的公共信息技术服务平台，降低企业运行成本。面向符合条件的文化企业发放科技创新券，对使用高校、科研院所及其他企事业单位科学仪器设备进行检测、试验、分析等活动发生的费用给予补助。实施“一部手机游山东”项目，构建“一中心四平台”智慧文旅综合服务体系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省科技厅牵头，省委宣传部、省文化和旅游厅、省财政厅、省广播电视局配合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4" w:hRule="atLeast"/>
        </w:trPr>
        <w:tc>
          <w:tcPr>
            <w:tcW w:w="8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3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打造文化科技成果转化平台</w:t>
            </w:r>
          </w:p>
        </w:tc>
        <w:tc>
          <w:tcPr>
            <w:tcW w:w="50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鼓励龙头文化企业牵头，高校、科研院所、中介机构等共同参与，建设山东省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5G高新视频、文化创意产业和智能制造、数字媒体金融创新创业共同体。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推动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山东文化产权交易所等一批综合性平台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加快发展</w:t>
            </w:r>
            <w:r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  <w:t>，探索建立网上文化科技成果交易平台、区块链数字版权平台。支持高校、科研院所以各种形式建立或引进各类服务机构，开展技术转移转化活动。</w:t>
            </w:r>
          </w:p>
        </w:tc>
        <w:tc>
          <w:tcPr>
            <w:tcW w:w="2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省科技厅牵头，省委宣传部、省文化和旅游厅、省广播电视局配合</w:t>
            </w:r>
          </w:p>
        </w:tc>
      </w:tr>
    </w:tbl>
    <w:p>
      <w:pPr>
        <w:spacing w:line="580" w:lineRule="exact"/>
        <w:ind w:firstLine="640" w:firstLineChars="200"/>
        <w:rPr>
          <w:rFonts w:ascii="楷体_GB2312" w:hAnsi="楷体_GB2312" w:eastAsia="楷体_GB2312" w:cs="楷体_GB2312"/>
          <w:sz w:val="32"/>
          <w:szCs w:val="32"/>
        </w:rPr>
      </w:pPr>
    </w:p>
    <w:p/>
    <w:p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- 10 -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8.15pt;width:35.0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bziEn0QAA&#10;AAMBAAAPAAAAAAAAAAEAIAAAACIAAABkcnMvZG93bnJldi54bWxQSwECFAAUAAAACACHTuJAvBDb&#10;mewBAAC0AwAADgAAAAAAAAABACAAAAAgAQAAZHJzL2Uyb0RvYy54bWxQSwUGAAAAAAYABgBZAQAA&#10;f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- 10 -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E13995"/>
    <w:rsid w:val="0C40132A"/>
    <w:rsid w:val="30E1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2020-04-10T04:48:00Z</dcterms:created>
  <dc:creator>Administrator</dc:creator>
  <cp:lastModifiedBy>Administrator</cp:lastModifiedBy>
  <dcterms:modified xsi:type="dcterms:W3CDTF">2020-04-10T04:49:33Z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