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pacing w:val="-1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  <w:t>2018年山东省重点研发计划（科技合作）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b/>
          <w:spacing w:val="-11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  <w:t>验收综合绩效评价专家打分表</w:t>
      </w:r>
    </w:p>
    <w:tbl>
      <w:tblPr>
        <w:tblStyle w:val="4"/>
        <w:tblW w:w="9049" w:type="dxa"/>
        <w:tblInd w:w="-7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1"/>
        <w:gridCol w:w="6153"/>
        <w:gridCol w:w="90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199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评议内容（分）</w:t>
            </w:r>
          </w:p>
        </w:tc>
        <w:tc>
          <w:tcPr>
            <w:tcW w:w="615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评议等级</w:t>
            </w:r>
          </w:p>
        </w:tc>
        <w:tc>
          <w:tcPr>
            <w:tcW w:w="9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打分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991" w:type="dxa"/>
            <w:vAlign w:val="center"/>
          </w:tcPr>
          <w:p>
            <w:pPr>
              <w:widowControl/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1.项目资料（5）</w:t>
            </w:r>
          </w:p>
        </w:tc>
        <w:tc>
          <w:tcPr>
            <w:tcW w:w="6153" w:type="dxa"/>
            <w:vAlign w:val="center"/>
          </w:tcPr>
          <w:p>
            <w:pPr>
              <w:widowControl/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验收综合绩效评价资料齐全，内容完整（5）；验收综合绩效评价资料不齐全，内容不完整，无法保证工作顺利开展（0-3）。</w:t>
            </w:r>
          </w:p>
        </w:tc>
        <w:tc>
          <w:tcPr>
            <w:tcW w:w="9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991" w:type="dxa"/>
            <w:vAlign w:val="center"/>
          </w:tcPr>
          <w:p>
            <w:pPr>
              <w:widowControl/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2.实施周期（5）</w:t>
            </w:r>
          </w:p>
        </w:tc>
        <w:tc>
          <w:tcPr>
            <w:tcW w:w="6153" w:type="dxa"/>
            <w:vAlign w:val="center"/>
          </w:tcPr>
          <w:p>
            <w:pPr>
              <w:widowControl/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项目按照任务书规定时间完成（5）；项目延期完成（0-3）。</w:t>
            </w:r>
          </w:p>
        </w:tc>
        <w:tc>
          <w:tcPr>
            <w:tcW w:w="9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991" w:type="dxa"/>
            <w:vAlign w:val="center"/>
          </w:tcPr>
          <w:p>
            <w:pPr>
              <w:widowControl/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3.研究内容（10）</w:t>
            </w:r>
          </w:p>
        </w:tc>
        <w:tc>
          <w:tcPr>
            <w:tcW w:w="6153" w:type="dxa"/>
            <w:vAlign w:val="center"/>
          </w:tcPr>
          <w:p>
            <w:pPr>
              <w:widowControl/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全部或超额完成任务书规定的研究内容（10）；基本完成任务书规定的研究内容（5）；主要内容没完成（0）</w:t>
            </w:r>
          </w:p>
        </w:tc>
        <w:tc>
          <w:tcPr>
            <w:tcW w:w="9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991" w:type="dxa"/>
            <w:vMerge w:val="restart"/>
            <w:vAlign w:val="center"/>
          </w:tcPr>
          <w:p>
            <w:pPr>
              <w:widowControl/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4.技术指标（30）</w:t>
            </w:r>
          </w:p>
        </w:tc>
        <w:tc>
          <w:tcPr>
            <w:tcW w:w="6153" w:type="dxa"/>
            <w:vAlign w:val="center"/>
          </w:tcPr>
          <w:p>
            <w:pPr>
              <w:widowControl/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完全达到任务书规定的技术指标或有所突破（20）；达到任务书规定的主要技术指标，个别次要指标未完成，按完成比例核算分值（5-19）；未完成任务书规定的主要技术指标（0-5）。</w:t>
            </w:r>
          </w:p>
        </w:tc>
        <w:tc>
          <w:tcPr>
            <w:tcW w:w="9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91" w:type="dxa"/>
            <w:vMerge w:val="continue"/>
            <w:vAlign w:val="center"/>
          </w:tcPr>
          <w:p>
            <w:pPr>
              <w:widowControl/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6153" w:type="dxa"/>
            <w:vAlign w:val="center"/>
          </w:tcPr>
          <w:p>
            <w:pPr>
              <w:widowControl/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知识产权指标全部或超额完成（10）；知识产权指标未全部完成，按完成比例核算分值（0-9）。</w:t>
            </w:r>
          </w:p>
        </w:tc>
        <w:tc>
          <w:tcPr>
            <w:tcW w:w="9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991" w:type="dxa"/>
            <w:vMerge w:val="restart"/>
            <w:vAlign w:val="center"/>
          </w:tcPr>
          <w:p>
            <w:pPr>
              <w:widowControl/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5.绩效指标（25）</w:t>
            </w:r>
          </w:p>
        </w:tc>
        <w:tc>
          <w:tcPr>
            <w:tcW w:w="6153" w:type="dxa"/>
            <w:vAlign w:val="center"/>
          </w:tcPr>
          <w:p>
            <w:pPr>
              <w:widowControl/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实施期内经济效益明显，全部或超额完成（5）；经济效益指标未全部完成，按完成比例核算分值（0-4）。</w:t>
            </w:r>
          </w:p>
        </w:tc>
        <w:tc>
          <w:tcPr>
            <w:tcW w:w="9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991" w:type="dxa"/>
            <w:vMerge w:val="continue"/>
            <w:vAlign w:val="center"/>
          </w:tcPr>
          <w:p>
            <w:pPr>
              <w:widowControl/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6153" w:type="dxa"/>
            <w:vAlign w:val="center"/>
          </w:tcPr>
          <w:p>
            <w:pPr>
              <w:widowControl/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获奖、论文和标准指标全部或超额完成（5）；获奖、论文和标准指标未全部完成，按完成比例核算分值（0-4）。</w:t>
            </w:r>
          </w:p>
        </w:tc>
        <w:tc>
          <w:tcPr>
            <w:tcW w:w="9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991" w:type="dxa"/>
            <w:vMerge w:val="continue"/>
            <w:vAlign w:val="center"/>
          </w:tcPr>
          <w:p>
            <w:pPr>
              <w:widowControl/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6153" w:type="dxa"/>
            <w:vAlign w:val="center"/>
          </w:tcPr>
          <w:p>
            <w:pPr>
              <w:widowControl/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创新平台建设全部或超额完成（5）；创新平台建设未全部完成，按完成比例核算分值（0-4）。</w:t>
            </w:r>
          </w:p>
        </w:tc>
        <w:tc>
          <w:tcPr>
            <w:tcW w:w="9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991" w:type="dxa"/>
            <w:vMerge w:val="continue"/>
            <w:vAlign w:val="center"/>
          </w:tcPr>
          <w:p>
            <w:pPr>
              <w:widowControl/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6153" w:type="dxa"/>
            <w:vAlign w:val="center"/>
          </w:tcPr>
          <w:p>
            <w:pPr>
              <w:widowControl/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人才引进及培养全部或超额完成（5）；人才引进及培养未全部完成，按完成比例核算分值（0-4）。</w:t>
            </w:r>
          </w:p>
        </w:tc>
        <w:tc>
          <w:tcPr>
            <w:tcW w:w="9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991" w:type="dxa"/>
            <w:vMerge w:val="continue"/>
            <w:vAlign w:val="center"/>
          </w:tcPr>
          <w:p>
            <w:pPr>
              <w:widowControl/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6153" w:type="dxa"/>
            <w:vAlign w:val="center"/>
          </w:tcPr>
          <w:p>
            <w:pPr>
              <w:widowControl/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节能减排指标完全或超额完成（5）；节能减排指标未全部完成，按完成比例核算分值（0-4）。</w:t>
            </w:r>
          </w:p>
        </w:tc>
        <w:tc>
          <w:tcPr>
            <w:tcW w:w="9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991" w:type="dxa"/>
            <w:vMerge w:val="restart"/>
            <w:vAlign w:val="center"/>
          </w:tcPr>
          <w:p>
            <w:pPr>
              <w:widowControl/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6.财务审计（25）</w:t>
            </w:r>
          </w:p>
        </w:tc>
        <w:tc>
          <w:tcPr>
            <w:tcW w:w="6153" w:type="dxa"/>
            <w:vAlign w:val="center"/>
          </w:tcPr>
          <w:p>
            <w:pPr>
              <w:widowControl/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  <w:bookmarkStart w:id="0" w:name="OLE_LINK2"/>
            <w:r>
              <w:rPr>
                <w:rFonts w:hint="eastAsia" w:ascii="仿宋_GB2312" w:eastAsia="仿宋_GB2312"/>
                <w:kern w:val="0"/>
                <w:sz w:val="24"/>
              </w:rPr>
              <w:t>省拨经费和自筹经费</w:t>
            </w:r>
            <w:bookmarkEnd w:id="0"/>
            <w:r>
              <w:rPr>
                <w:rFonts w:hint="eastAsia" w:ascii="仿宋_GB2312" w:eastAsia="仿宋_GB2312"/>
                <w:kern w:val="0"/>
                <w:sz w:val="24"/>
              </w:rPr>
              <w:t>均独立核算（10）；省拨经费独立核算，做到专款专用（5）；省拨经费和自筹经费均未独立核算（0）</w:t>
            </w:r>
          </w:p>
        </w:tc>
        <w:tc>
          <w:tcPr>
            <w:tcW w:w="9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991" w:type="dxa"/>
            <w:vMerge w:val="continue"/>
            <w:vAlign w:val="center"/>
          </w:tcPr>
          <w:p>
            <w:pPr>
              <w:widowControl/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6153" w:type="dxa"/>
            <w:vAlign w:val="center"/>
          </w:tcPr>
          <w:p>
            <w:pPr>
              <w:widowControl/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省拨经费和自筹经费支出合理、规范（10）；省拨经费和自筹经费列支不规范，按照规范支出经费比例核算分值（0-9）</w:t>
            </w:r>
          </w:p>
        </w:tc>
        <w:tc>
          <w:tcPr>
            <w:tcW w:w="9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991" w:type="dxa"/>
            <w:vMerge w:val="continue"/>
            <w:vAlign w:val="center"/>
          </w:tcPr>
          <w:p>
            <w:pPr>
              <w:widowControl/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6153" w:type="dxa"/>
            <w:vAlign w:val="center"/>
          </w:tcPr>
          <w:p>
            <w:pPr>
              <w:widowControl/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项目新增投资足额或超额完成任务书规定（5）；未足额完成的，根据实际完成经费比例核算（0-4）.</w:t>
            </w:r>
          </w:p>
        </w:tc>
        <w:tc>
          <w:tcPr>
            <w:tcW w:w="9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991" w:type="dxa"/>
            <w:vMerge w:val="continue"/>
            <w:vAlign w:val="center"/>
          </w:tcPr>
          <w:p>
            <w:pPr>
              <w:widowControl/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6153" w:type="dxa"/>
            <w:vAlign w:val="center"/>
          </w:tcPr>
          <w:p>
            <w:pPr>
              <w:widowControl/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存在挤占、挪用专项经费或经费支出存在违规现象的项目财务审计为零分。</w:t>
            </w:r>
          </w:p>
        </w:tc>
        <w:tc>
          <w:tcPr>
            <w:tcW w:w="9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44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总分</w:t>
            </w:r>
          </w:p>
        </w:tc>
        <w:tc>
          <w:tcPr>
            <w:tcW w:w="905" w:type="dxa"/>
            <w:tcBorders>
              <w:bottom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049" w:type="dxa"/>
            <w:gridSpan w:val="3"/>
            <w:tcBorders>
              <w:top w:val="single" w:color="auto" w:sz="8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备注：1.因提供资料不完整，无法核实完成情况的该项不得分。</w:t>
            </w:r>
          </w:p>
          <w:p>
            <w:pPr>
              <w:widowControl/>
              <w:spacing w:line="280" w:lineRule="exact"/>
              <w:ind w:firstLine="723" w:firstLineChars="300"/>
              <w:jc w:val="left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2.绩效指标中如存在部分评分项任务书中未规定的，则将该部分分值平均到任务书规定指标中，按照完成比</w:t>
            </w:r>
            <w:r>
              <w:rPr>
                <w:rFonts w:hint="eastAsia" w:ascii="仿宋_GB2312" w:eastAsia="仿宋_GB2312"/>
                <w:b/>
                <w:kern w:val="0"/>
                <w:sz w:val="24"/>
                <w:lang w:val="en-US" w:eastAsia="zh-CN"/>
              </w:rPr>
              <w:t>例</w:t>
            </w:r>
            <w:bookmarkStart w:id="1" w:name="_GoBack"/>
            <w:bookmarkEnd w:id="1"/>
            <w:r>
              <w:rPr>
                <w:rFonts w:hint="eastAsia" w:ascii="仿宋_GB2312" w:eastAsia="仿宋_GB2312"/>
                <w:b/>
                <w:kern w:val="0"/>
                <w:sz w:val="24"/>
              </w:rPr>
              <w:t>核算分值。</w:t>
            </w:r>
          </w:p>
          <w:p>
            <w:pPr>
              <w:widowControl/>
              <w:spacing w:line="280" w:lineRule="exact"/>
              <w:ind w:firstLine="723" w:firstLineChars="300"/>
              <w:jc w:val="left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3.如某评分项供材料存在弄虚作假的，则该评分项按照零分处理。</w:t>
            </w:r>
          </w:p>
          <w:p>
            <w:pPr>
              <w:widowControl/>
              <w:spacing w:line="280" w:lineRule="exact"/>
              <w:ind w:firstLine="723" w:firstLineChars="300"/>
              <w:jc w:val="left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4.如出现评分项无法整除的情况，按照四舍五入的原则，精确到小数点后一位。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OWM2MzNlZjk4NTNhNjlmZThmZjcxNGE1Y2Q0ZmIifQ=="/>
  </w:docVars>
  <w:rsids>
    <w:rsidRoot w:val="76A66BF5"/>
    <w:rsid w:val="00127F45"/>
    <w:rsid w:val="003A7760"/>
    <w:rsid w:val="00610E73"/>
    <w:rsid w:val="006C67B1"/>
    <w:rsid w:val="006C7F23"/>
    <w:rsid w:val="008406AC"/>
    <w:rsid w:val="00D20F06"/>
    <w:rsid w:val="00D53D3B"/>
    <w:rsid w:val="00E27890"/>
    <w:rsid w:val="19562E63"/>
    <w:rsid w:val="5B331B00"/>
    <w:rsid w:val="76A6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152</Words>
  <Characters>871</Characters>
  <Lines>7</Lines>
  <Paragraphs>2</Paragraphs>
  <TotalTime>2</TotalTime>
  <ScaleCrop>false</ScaleCrop>
  <LinksUpToDate>false</LinksUpToDate>
  <CharactersWithSpaces>1021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2021-07-27T02:40:00Z</dcterms:created>
  <dc:creator>Administrator</dc:creator>
  <cp:lastModifiedBy>86185</cp:lastModifiedBy>
  <dcterms:modified xsi:type="dcterms:W3CDTF">2022-11-30T02:30:38Z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6CCE8447ADB74CCCB64AF9173E7FCB5C</vt:lpwstr>
  </property>
</Properties>
</file>