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tbl>
      <w:tblPr>
        <w:tblStyle w:val="4"/>
        <w:tblW w:w="0" w:type="auto"/>
        <w:tblInd w:w="3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936"/>
        <w:gridCol w:w="1406"/>
        <w:gridCol w:w="3810"/>
        <w:gridCol w:w="1350"/>
        <w:gridCol w:w="1281"/>
        <w:gridCol w:w="1992"/>
        <w:gridCol w:w="197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4055" w:type="dxa"/>
            <w:gridSpan w:val="8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山东省省属科研院所创新绩效评价指标体系（应用研究与技术开发类）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302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一级指标</w:t>
            </w:r>
          </w:p>
        </w:tc>
        <w:tc>
          <w:tcPr>
            <w:tcW w:w="936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二级指标</w:t>
            </w:r>
          </w:p>
        </w:tc>
        <w:tc>
          <w:tcPr>
            <w:tcW w:w="1406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三级指标</w:t>
            </w:r>
          </w:p>
        </w:tc>
        <w:tc>
          <w:tcPr>
            <w:tcW w:w="3810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评分标准</w:t>
            </w:r>
          </w:p>
        </w:tc>
        <w:tc>
          <w:tcPr>
            <w:tcW w:w="1350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数值</w:t>
            </w:r>
            <w:r>
              <w:rPr>
                <w:rFonts w:ascii="黑体" w:hAnsi="黑体" w:eastAsia="黑体"/>
                <w:color w:val="000000"/>
                <w:kern w:val="0"/>
                <w:sz w:val="20"/>
              </w:rPr>
              <w:t>/</w:t>
            </w: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得分</w:t>
            </w:r>
          </w:p>
        </w:tc>
        <w:tc>
          <w:tcPr>
            <w:tcW w:w="1281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权重</w:t>
            </w:r>
          </w:p>
        </w:tc>
        <w:tc>
          <w:tcPr>
            <w:tcW w:w="1992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备注</w:t>
            </w:r>
          </w:p>
        </w:tc>
        <w:tc>
          <w:tcPr>
            <w:tcW w:w="1978" w:type="dxa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000000"/>
                <w:kern w:val="0"/>
                <w:sz w:val="20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0"/>
              </w:rPr>
              <w:t>评价方法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02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职责定位与制度创新（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93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职责定位（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40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职责相符性（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科技创新活动与职责定位的相符性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需求一致性（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科技创新活动与国家、行业发展重大需求的一致性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科技创新活动与同领域国际科技创新发展趋势的符合性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制度创新（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40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章程管理（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是否具有科研院所章程，是否按照章程进行管理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法人治理（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是否实行法人治理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科研管理制度（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科技创新管理制度与激励机制的完善程度，主要考察目前的科研管理制度是否能够紧跟落实国家、省最新的有关政策法规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财务管理制度（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经费使用的合理性与合规性，主要考察目前的经费管理、使用是否能够紧跟落实国家、省有关的政策法规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2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创新基础（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93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基础设施（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科研资产（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科研用房面积（平方米）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科学仪器设备（原值）（万元）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  <w:bookmarkStart w:id="0" w:name="OLE_LINK2" w:colFirst="3" w:colLast="5"/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创新平台（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</w:t>
            </w:r>
            <w:r>
              <w:rPr>
                <w:rFonts w:eastAsia="仿宋_GB2312"/>
                <w:color w:val="000000"/>
                <w:kern w:val="0"/>
                <w:sz w:val="20"/>
              </w:rPr>
              <w:t>(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重点</w:t>
            </w:r>
            <w:r>
              <w:rPr>
                <w:rFonts w:eastAsia="仿宋_GB2312"/>
                <w:color w:val="000000"/>
                <w:kern w:val="0"/>
                <w:sz w:val="20"/>
              </w:rPr>
              <w:t>)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实验室数量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国家工程研究中心数量、国家技术创新中心数量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省部级重点实验室数量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省部级技术创新中心、省部级工程研究中心数量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其他创新平台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bookmarkEnd w:id="0"/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科技人员（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40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人员（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人员占比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高层次人才（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国家级人才引进培育数量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sz w:val="20"/>
              </w:rPr>
              <w:t>0.5</w:t>
            </w:r>
          </w:p>
        </w:tc>
        <w:tc>
          <w:tcPr>
            <w:tcW w:w="1992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每人次只能计算一次，不能重复计算</w:t>
            </w: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省级人才引进培育数量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博士学历人才占比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创新团队（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国家级创新团队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省部级创新团队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其他团队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人才团队作用发挥情况（</w:t>
            </w:r>
            <w:r>
              <w:rPr>
                <w:rFonts w:eastAsia="仿宋_GB2312"/>
                <w:color w:val="00000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人才团队推动产学研深度融合以及转化成果、孵化项目、创办企业情况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研发投入（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经费占比（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Cs w:val="21"/>
              </w:rPr>
              <w:t>人员人均</w:t>
            </w:r>
            <w:r>
              <w:rPr>
                <w:rFonts w:eastAsia="仿宋_GB2312"/>
                <w:color w:val="000000"/>
                <w:kern w:val="0"/>
                <w:szCs w:val="21"/>
              </w:rPr>
              <w:t>R&amp;D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经费支出（万元）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占经费支出总额比例增幅</w:t>
            </w:r>
            <w:r>
              <w:rPr>
                <w:rFonts w:hint="eastAsia" w:eastAsia="仿宋_GB2312"/>
                <w:color w:val="000000"/>
                <w:kern w:val="0"/>
                <w:szCs w:val="21"/>
              </w:rPr>
              <w:t>（</w:t>
            </w:r>
            <w:r>
              <w:rPr>
                <w:rFonts w:eastAsia="仿宋_GB2312"/>
                <w:color w:val="000000"/>
                <w:kern w:val="0"/>
                <w:szCs w:val="21"/>
              </w:rPr>
              <w:t>%</w:t>
            </w:r>
            <w:r>
              <w:rPr>
                <w:rFonts w:hint="eastAsia" w:eastAsia="仿宋_GB2312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创新产出（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93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科技论文与著作（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科技论文（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百人发表代表性论文数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1992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需提供证明材料</w:t>
            </w: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代表性论文的研究质量、成果水平、原创价值、影响力等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0.65</w:t>
            </w: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科技著作（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百人出版代表性科技专著数量（一级出版社）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代表性科技专著的研究质量、成果水平、原创价值、社会影响力等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0.65</w:t>
            </w: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软件著作权（</w:t>
            </w:r>
            <w:r>
              <w:rPr>
                <w:rFonts w:eastAsia="仿宋_GB2312"/>
                <w:color w:val="000000"/>
                <w:sz w:val="20"/>
              </w:rPr>
              <w:t>0.35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百人发表代表性软件著作权的数量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代表性软件著作权的质量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成果水平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原创价值</w:t>
            </w:r>
            <w:r>
              <w:rPr>
                <w:rFonts w:eastAsia="仿宋_GB2312"/>
                <w:color w:val="000000"/>
                <w:kern w:val="0"/>
                <w:sz w:val="20"/>
              </w:rPr>
              <w:t>/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社会影响力等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0.65</w:t>
            </w: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科研项目（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科研项目来源（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主持国家级科研项目数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1992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需提供证明材料</w:t>
            </w: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参与国家级科研项目数（前三位）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主持省部级科研项目数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主持其他科研项目数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科研项目经费（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人均科研项目经费数额（万元）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专利与标准（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专利授权（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百人授权发明专利数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1992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需提供证明材料</w:t>
            </w: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百人授权实用新型与外观设计专利数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代表性专利的技术创新性以及解决关键技术问题、促进产业发展中发挥的作用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技术标准（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形成国家标准数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形成行业标准数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形成地方或企业标准数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0.15</w:t>
            </w:r>
          </w:p>
        </w:tc>
        <w:tc>
          <w:tcPr>
            <w:tcW w:w="199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形成代表性技术标准的实际应用价值、社会影响力、在行业发展中做出的实际贡献等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科技奖励（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科技奖励（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国家科学技术奖励数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完成单位，国家级计算前五位，按排名顺序依次乘以系数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0.8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0.4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为最后分值；省级计算前三位，系数分别为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0.8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、</w:t>
            </w:r>
            <w:r>
              <w:rPr>
                <w:rFonts w:eastAsia="仿宋_GB2312"/>
                <w:color w:val="000000"/>
                <w:kern w:val="0"/>
                <w:sz w:val="20"/>
              </w:rPr>
              <w:t>0.6</w:t>
            </w: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省部级科学技术奖励数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相关行业部门科技奖励数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产学研合作（</w:t>
            </w:r>
            <w:r>
              <w:rPr>
                <w:rFonts w:eastAsia="仿宋_GB2312"/>
                <w:color w:val="000000"/>
                <w:sz w:val="20"/>
              </w:rPr>
              <w:t>0.2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140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学术交流（</w:t>
            </w:r>
            <w:r>
              <w:rPr>
                <w:rFonts w:eastAsia="仿宋_GB2312"/>
                <w:color w:val="000000"/>
                <w:sz w:val="20"/>
              </w:rPr>
              <w:t>0.3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举办或承办省级及以上学术会议数量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项目合作（</w:t>
            </w:r>
            <w:r>
              <w:rPr>
                <w:rFonts w:eastAsia="仿宋_GB2312"/>
                <w:color w:val="000000"/>
                <w:sz w:val="20"/>
              </w:rPr>
              <w:t>0.35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产学研合作经费（万元）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人才培养（</w:t>
            </w:r>
            <w:r>
              <w:rPr>
                <w:rFonts w:eastAsia="仿宋_GB2312"/>
                <w:color w:val="000000"/>
                <w:sz w:val="20"/>
              </w:rPr>
              <w:t>0.35</w:t>
            </w:r>
            <w:r>
              <w:rPr>
                <w:rFonts w:hint="eastAsia" w:eastAsia="仿宋_GB2312"/>
                <w:color w:val="00000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培养研究生数量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2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创新效益（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0.25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93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经济效益（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收入及成果转移转化收益（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技术性收入（技术服务、咨询、检测等）（万元）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创办成果转化类科技型企业数量（家）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创办成果转化类企业获得纯利润（万元）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专利所有权转让及许可收入（万元）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0.3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成果转化平台建设（</w:t>
            </w:r>
            <w:r>
              <w:rPr>
                <w:rFonts w:eastAsia="仿宋_GB2312"/>
                <w:color w:val="000000"/>
                <w:kern w:val="0"/>
                <w:sz w:val="20"/>
              </w:rPr>
              <w:t>0.5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1406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成果转化平台建设（</w:t>
            </w:r>
            <w:r>
              <w:rPr>
                <w:rFonts w:eastAsia="仿宋_GB2312"/>
                <w:color w:val="000000"/>
                <w:kern w:val="0"/>
                <w:sz w:val="20"/>
              </w:rPr>
              <w:t>1</w:t>
            </w:r>
            <w:r>
              <w:rPr>
                <w:rFonts w:hint="eastAsia" w:eastAsia="仿宋_GB2312"/>
                <w:color w:val="000000"/>
                <w:kern w:val="0"/>
                <w:sz w:val="20"/>
              </w:rPr>
              <w:t>）</w:t>
            </w: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加盟高水平新型研发机构数量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共建新型研发机构数量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内部建有创新单元数量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即</w:t>
            </w:r>
            <w:r>
              <w:rPr>
                <w:rFonts w:eastAsia="仿宋_GB2312"/>
                <w:color w:val="000000"/>
                <w:sz w:val="18"/>
                <w:szCs w:val="18"/>
              </w:rPr>
              <w:t>PI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制，一种新型科研组织管理模式，以项目主持人为核心的人力资源配置，以项目经费和成本核算为核心的财力资源配置，以科研资源共享为核心的物力资源配置的一种先进科研管理机制；</w:t>
            </w:r>
            <w:r>
              <w:rPr>
                <w:rFonts w:eastAsia="仿宋_GB2312"/>
                <w:color w:val="000000"/>
                <w:sz w:val="18"/>
                <w:szCs w:val="18"/>
              </w:rPr>
              <w:t>PI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制创新团队在人事管理、财务管理、科研项目管理上都拥有自主权</w:t>
            </w: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牵头建设省级创新创业共同体数量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0.2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经省政府认定</w:t>
            </w: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参与建设省级创新创业共同体数量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经省政府认定</w:t>
            </w: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406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38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</w:rPr>
              <w:t>牵头建设市级创新创业共同体数量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</w:rPr>
              <w:t>0.15</w:t>
            </w:r>
          </w:p>
        </w:tc>
        <w:tc>
          <w:tcPr>
            <w:tcW w:w="19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经当地市政府认定</w:t>
            </w:r>
          </w:p>
        </w:tc>
        <w:tc>
          <w:tcPr>
            <w:tcW w:w="197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</w:rPr>
            </w:pPr>
            <w:r>
              <w:rPr>
                <w:rFonts w:hint="eastAsia" w:eastAsia="仿宋_GB2312"/>
                <w:color w:val="000000"/>
                <w:sz w:val="20"/>
              </w:rPr>
              <w:t>定量</w:t>
            </w:r>
          </w:p>
        </w:tc>
      </w:tr>
    </w:tbl>
    <w:p>
      <w:pPr>
        <w:spacing w:line="360" w:lineRule="auto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注：二级指标除基础设施、科技人员考核年度存量外，其他指标均考核年度增量。</w:t>
      </w:r>
    </w:p>
    <w:p>
      <w:pPr>
        <w:spacing w:line="360" w:lineRule="auto"/>
        <w:rPr>
          <w:rFonts w:eastAsia="仿宋_GB2312"/>
          <w:sz w:val="24"/>
        </w:rPr>
      </w:pPr>
    </w:p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655BE"/>
    <w:rsid w:val="056655BE"/>
    <w:rsid w:val="3BDB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2020-11-25T12:31:00Z</dcterms:created>
  <dc:creator>明卓</dc:creator>
  <cp:lastModifiedBy>明卓</cp:lastModifiedBy>
  <dcterms:modified xsi:type="dcterms:W3CDTF">2020-11-25T12:32:14Z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