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both"/>
        <w:textAlignment w:val="auto"/>
        <w:rPr>
          <w:rFonts w:hint="default" w:ascii="Times New Roman" w:hAnsi="Times New Roman" w:eastAsia="黑体" w:cs="Times New Roman"/>
          <w:i w:val="0"/>
          <w:iCs w:val="0"/>
          <w:caps w:val="0"/>
          <w:color w:val="000000"/>
          <w:spacing w:val="0"/>
          <w:kern w:val="0"/>
          <w:sz w:val="32"/>
          <w:szCs w:val="32"/>
          <w:shd w:val="clear" w:color="auto" w:fill="FFFFFF"/>
          <w:lang w:val="en-US" w:eastAsia="zh-CN" w:bidi="ar-SA"/>
        </w:rPr>
      </w:pPr>
      <w:r>
        <w:rPr>
          <w:rFonts w:hint="default" w:ascii="Times New Roman" w:hAnsi="Times New Roman" w:eastAsia="黑体" w:cs="Times New Roman"/>
          <w:i w:val="0"/>
          <w:iCs w:val="0"/>
          <w:caps w:val="0"/>
          <w:color w:val="000000"/>
          <w:spacing w:val="0"/>
          <w:kern w:val="0"/>
          <w:sz w:val="32"/>
          <w:szCs w:val="32"/>
          <w:shd w:val="clear" w:color="auto" w:fill="FFFFFF"/>
          <w:lang w:val="en-US" w:eastAsia="zh-CN" w:bidi="ar-SA"/>
        </w:rPr>
        <w:t>附件2</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jc w:val="both"/>
        <w:textAlignment w:val="auto"/>
        <w:rPr>
          <w:rFonts w:hint="default" w:ascii="Times New Roman" w:hAnsi="Times New Roman" w:eastAsia="黑体" w:cs="Times New Roman"/>
          <w:i w:val="0"/>
          <w:iCs w:val="0"/>
          <w:caps w:val="0"/>
          <w:color w:val="000000"/>
          <w:spacing w:val="0"/>
          <w:kern w:val="0"/>
          <w:sz w:val="32"/>
          <w:szCs w:val="32"/>
          <w:shd w:val="clear" w:color="auto" w:fill="FFFFFF"/>
          <w:lang w:val="en-US" w:eastAsia="zh-CN" w:bidi="ar-SA"/>
        </w:rPr>
      </w:pPr>
    </w:p>
    <w:p>
      <w:pPr>
        <w:keepNext w:val="0"/>
        <w:keepLines w:val="0"/>
        <w:pageBreakBefore w:val="0"/>
        <w:widowControl w:val="0"/>
        <w:kinsoku/>
        <w:wordWrap/>
        <w:overflowPunct/>
        <w:topLinePunct w:val="0"/>
        <w:autoSpaceDN/>
        <w:bidi w:val="0"/>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山东省科技型企业创新政策扶持“一件事”</w:t>
      </w:r>
    </w:p>
    <w:p>
      <w:pPr>
        <w:keepNext w:val="0"/>
        <w:keepLines w:val="0"/>
        <w:pageBreakBefore w:val="0"/>
        <w:widowControl w:val="0"/>
        <w:kinsoku/>
        <w:wordWrap/>
        <w:overflowPunct/>
        <w:topLinePunct w:val="0"/>
        <w:autoSpaceDN/>
        <w:bidi w:val="0"/>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（以高新技术企业为例）办事指南</w:t>
      </w:r>
    </w:p>
    <w:p>
      <w:pPr>
        <w:keepNext w:val="0"/>
        <w:keepLines w:val="0"/>
        <w:pageBreakBefore w:val="0"/>
        <w:widowControl w:val="0"/>
        <w:kinsoku/>
        <w:wordWrap/>
        <w:overflowPunct/>
        <w:topLinePunct w:val="0"/>
        <w:autoSpaceDN/>
        <w:bidi w:val="0"/>
        <w:spacing w:line="580" w:lineRule="exact"/>
        <w:ind w:firstLine="640"/>
        <w:textAlignment w:val="auto"/>
        <w:rPr>
          <w:rFonts w:hint="default" w:ascii="Times New Roman" w:hAnsi="Times New Roman" w:cs="Times New Roman"/>
          <w:szCs w:val="32"/>
        </w:rPr>
      </w:pPr>
      <w:r>
        <w:rPr>
          <w:rFonts w:hint="default" w:ascii="Times New Roman" w:hAnsi="Times New Roman" w:cs="Times New Roman"/>
        </w:rPr>
        <w:t xml:space="preserve"> </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事项名称</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科技型企业创新政策扶持（以高新技术企业为例）“一件事”</w:t>
      </w:r>
      <w:r>
        <w:rPr>
          <w:rFonts w:hint="default" w:ascii="Times New Roman" w:hAnsi="Times New Roman" w:eastAsia="仿宋_GB2312" w:cs="Times New Roman"/>
          <w:sz w:val="32"/>
          <w:szCs w:val="32"/>
          <w:lang w:eastAsia="zh-CN"/>
        </w:rPr>
        <w:t>办事指南</w:t>
      </w:r>
    </w:p>
    <w:p>
      <w:pPr>
        <w:keepNext w:val="0"/>
        <w:keepLines w:val="0"/>
        <w:pageBreakBefore w:val="0"/>
        <w:widowControl w:val="0"/>
        <w:numPr>
          <w:ilvl w:val="0"/>
          <w:numId w:val="0"/>
        </w:numPr>
        <w:kinsoku/>
        <w:wordWrap/>
        <w:overflowPunct/>
        <w:topLinePunct w:val="0"/>
        <w:autoSpaceDE w:val="0"/>
        <w:autoSpaceDN/>
        <w:bidi w:val="0"/>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联办事项</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（一）高新技术企业评价认定信息核验</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（二）高新技术企业知识产权信息共享（包括专利信息、知识产权权利变更情况等）</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（三）高新技术企业审计报告报备信息共享</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eastAsia" w:eastAsia="仿宋_GB2312" w:cs="Times New Roman"/>
          <w:sz w:val="32"/>
          <w:szCs w:val="32"/>
          <w:lang w:eastAsia="zh-CN"/>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高新技术企业进出口信息共享</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包括进出口总额、出口总额等</w:t>
      </w:r>
      <w:r>
        <w:rPr>
          <w:rFonts w:hint="eastAsia" w:eastAsia="仿宋_GB2312" w:cs="Times New Roman"/>
          <w:sz w:val="32"/>
          <w:szCs w:val="32"/>
          <w:lang w:eastAsia="zh-CN"/>
        </w:rPr>
        <w:t>）</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高新技术企业海关失信和处罚信息核验</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）高新技术企业重特大生产安全事故处罚信息核验</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高新技术企业税务信息核验</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）高新技术企业市场监管行政处罚信息查询</w:t>
      </w:r>
      <w:bookmarkStart w:id="0" w:name="_GoBack"/>
      <w:bookmarkEnd w:id="0"/>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）高新技术企业营业执照信息核验</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）高新技术企业质量管理体系认证信息共享</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3.实施机构</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牵头部门：</w:t>
      </w:r>
      <w:r>
        <w:rPr>
          <w:rFonts w:hint="default" w:ascii="Times New Roman" w:hAnsi="Times New Roman" w:eastAsia="仿宋_GB2312" w:cs="Times New Roman"/>
          <w:sz w:val="32"/>
          <w:szCs w:val="32"/>
          <w:lang w:eastAsia="zh-CN"/>
        </w:rPr>
        <w:t>省科技厅</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eastAsia" w:ascii="仿宋_GB2312" w:hAnsi="仿宋_GB2312" w:eastAsia="仿宋_GB2312" w:cs="仿宋_GB2312"/>
          <w:sz w:val="32"/>
          <w:szCs w:val="32"/>
        </w:rPr>
      </w:pPr>
      <w:r>
        <w:rPr>
          <w:rFonts w:hint="default" w:ascii="Times New Roman" w:hAnsi="Times New Roman" w:eastAsia="楷体_GB2312" w:cs="Times New Roman"/>
          <w:sz w:val="32"/>
          <w:szCs w:val="32"/>
        </w:rPr>
        <w:t>联办部门：</w:t>
      </w:r>
      <w:r>
        <w:rPr>
          <w:rFonts w:hint="eastAsia" w:ascii="仿宋_GB2312" w:hAnsi="仿宋_GB2312" w:eastAsia="仿宋_GB2312" w:cs="仿宋_GB2312"/>
          <w:sz w:val="32"/>
          <w:szCs w:val="32"/>
        </w:rPr>
        <w:t>省工业和信息化厅、省财政厅、省应急管理厅、青岛海关、济南海关、省税务局、省市场监管局（省知识产权局）</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实施机构：</w:t>
      </w:r>
      <w:r>
        <w:rPr>
          <w:rFonts w:hint="default" w:ascii="Times New Roman" w:hAnsi="Times New Roman" w:eastAsia="仿宋_GB2312" w:cs="Times New Roman"/>
          <w:sz w:val="32"/>
          <w:szCs w:val="32"/>
        </w:rPr>
        <w:t>省</w:t>
      </w:r>
      <w:r>
        <w:rPr>
          <w:rFonts w:hint="default" w:ascii="Times New Roman" w:hAnsi="Times New Roman" w:eastAsia="仿宋_GB2312" w:cs="Times New Roman"/>
          <w:sz w:val="32"/>
          <w:szCs w:val="32"/>
          <w:lang w:eastAsia="zh-CN"/>
        </w:rPr>
        <w:t>科技厅、省</w:t>
      </w:r>
      <w:r>
        <w:rPr>
          <w:rFonts w:hint="default" w:ascii="Times New Roman" w:hAnsi="Times New Roman" w:eastAsia="仿宋_GB2312" w:cs="Times New Roman"/>
          <w:sz w:val="32"/>
          <w:szCs w:val="32"/>
          <w:lang w:val="en-US" w:eastAsia="zh-CN"/>
        </w:rPr>
        <w:t>工业和信息化</w:t>
      </w:r>
      <w:r>
        <w:rPr>
          <w:rFonts w:hint="default" w:ascii="Times New Roman" w:hAnsi="Times New Roman" w:eastAsia="仿宋_GB2312" w:cs="Times New Roman"/>
          <w:sz w:val="32"/>
          <w:szCs w:val="32"/>
          <w:lang w:eastAsia="zh-CN"/>
        </w:rPr>
        <w:t>厅、省财政厅、省税务局。</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4.服务对象</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法人企业</w:t>
      </w:r>
    </w:p>
    <w:p>
      <w:pPr>
        <w:keepNext w:val="0"/>
        <w:keepLines w:val="0"/>
        <w:pageBreakBefore w:val="0"/>
        <w:widowControl w:val="0"/>
        <w:numPr>
          <w:ilvl w:val="0"/>
          <w:numId w:val="0"/>
        </w:numPr>
        <w:kinsoku/>
        <w:wordWrap/>
        <w:overflowPunct/>
        <w:topLinePunct w:val="0"/>
        <w:autoSpaceDE w:val="0"/>
        <w:autoSpaceDN/>
        <w:bidi w:val="0"/>
        <w:spacing w:line="58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lang w:eastAsia="zh-CN"/>
        </w:rPr>
        <w:t>受理条件</w:t>
      </w:r>
    </w:p>
    <w:p>
      <w:pPr>
        <w:keepNext w:val="0"/>
        <w:keepLines w:val="0"/>
        <w:pageBreakBefore w:val="0"/>
        <w:widowControl w:val="0"/>
        <w:numPr>
          <w:ilvl w:val="0"/>
          <w:numId w:val="0"/>
        </w:numPr>
        <w:kinsoku/>
        <w:wordWrap/>
        <w:overflowPunct/>
        <w:topLinePunct w:val="0"/>
        <w:autoSpaceDE w:val="0"/>
        <w:autoSpaceDN/>
        <w:bidi w:val="0"/>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高新技术企业认定</w:t>
      </w:r>
      <w:r>
        <w:rPr>
          <w:rFonts w:hint="default" w:ascii="Times New Roman" w:hAnsi="Times New Roman" w:eastAsia="楷体_GB2312" w:cs="Times New Roman"/>
          <w:sz w:val="32"/>
          <w:szCs w:val="32"/>
        </w:rPr>
        <w:t>条件</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（一）企业申请认定时须注册成立一年以上；</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（二）企业通过自主研发、受让、受赠、并购等方式，获得对其主要产品（服务）在技术上发挥核心支持作用的知识产权的所有权；</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（三）对企业主要产品（服务）发挥核心支持作用的技术属于《国家重点支持的高新技术领域》规定的范围；</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（四）企业从事研发和相关技术创新活动的科技人员占企业当年职工总数的比例不低于10%；</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（五）企业近三个会计年度（实际经营期不满三年的按实际经营时间计算，下同）的研究开发费用总额占同期销售收入总额的比例符合如下要求：</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1.最近一年销售收入小于5000万元（含）的企业，比例不低于5%；</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2.最近一年销售收入在5000万元至2亿元（含）的企业，比例不低于4%；</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3.最近一年销售收入在2亿元以上的企业，比例不低于3%。</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其中，企业在中国境内发生的研究开发费用总额占全部研究开发费用总额的比例不低于60%； </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（六）近一年高新技术产品（服务）收入占企业同期总收入的比例不低于60%；</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（七）企业创新能力评价应达到相应要求；</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（八）企业申请认定前一年内未发生重大安全、重大质量事故或严重环境违法行为。</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lang w:val="en-US" w:eastAsia="zh-CN"/>
        </w:rPr>
        <w:t>6</w:t>
      </w:r>
      <w:r>
        <w:rPr>
          <w:rFonts w:hint="default" w:ascii="Times New Roman" w:hAnsi="Times New Roman" w:eastAsia="黑体" w:cs="Times New Roman"/>
          <w:sz w:val="32"/>
          <w:szCs w:val="32"/>
        </w:rPr>
        <w:t>.法定办结时间</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rPr>
        <w:t>.承诺办结时间</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专家评审</w:t>
      </w:r>
      <w:r>
        <w:rPr>
          <w:rFonts w:hint="eastAsia" w:eastAsia="仿宋_GB2312" w:cs="Times New Roman"/>
          <w:sz w:val="32"/>
          <w:szCs w:val="32"/>
          <w:highlight w:val="none"/>
          <w:lang w:val="en-US" w:eastAsia="zh-CN"/>
        </w:rPr>
        <w:t>在</w:t>
      </w:r>
      <w:r>
        <w:rPr>
          <w:rFonts w:hint="default" w:ascii="Times New Roman" w:hAnsi="Times New Roman" w:eastAsia="仿宋_GB2312" w:cs="Times New Roman"/>
          <w:sz w:val="32"/>
          <w:szCs w:val="32"/>
          <w:lang w:val="en-US" w:eastAsia="zh-CN"/>
        </w:rPr>
        <w:t>20个工作日</w:t>
      </w:r>
      <w:r>
        <w:rPr>
          <w:rFonts w:hint="eastAsia" w:eastAsia="仿宋_GB2312" w:cs="Times New Roman"/>
          <w:sz w:val="32"/>
          <w:szCs w:val="32"/>
          <w:lang w:val="en-US" w:eastAsia="zh-CN"/>
        </w:rPr>
        <w:t>内完成</w:t>
      </w:r>
      <w:r>
        <w:rPr>
          <w:rFonts w:hint="default" w:ascii="Times New Roman" w:hAnsi="Times New Roman" w:eastAsia="仿宋_GB2312" w:cs="Times New Roman"/>
          <w:sz w:val="32"/>
          <w:szCs w:val="32"/>
          <w:lang w:val="en-US" w:eastAsia="zh-CN"/>
        </w:rPr>
        <w:t>；全年综合审查办结时间不晚于当年度11月20日。</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lang w:val="en-US" w:eastAsia="zh-CN"/>
        </w:rPr>
        <w:t>8</w:t>
      </w:r>
      <w:r>
        <w:rPr>
          <w:rFonts w:hint="default" w:ascii="Times New Roman" w:hAnsi="Times New Roman" w:eastAsia="黑体" w:cs="Times New Roman"/>
          <w:sz w:val="32"/>
          <w:szCs w:val="32"/>
        </w:rPr>
        <w:t>.办理</w:t>
      </w:r>
      <w:r>
        <w:rPr>
          <w:rFonts w:hint="default" w:ascii="Times New Roman" w:hAnsi="Times New Roman" w:eastAsia="黑体" w:cs="Times New Roman"/>
          <w:sz w:val="32"/>
          <w:szCs w:val="32"/>
          <w:lang w:eastAsia="zh-CN"/>
        </w:rPr>
        <w:t>形</w:t>
      </w:r>
      <w:r>
        <w:rPr>
          <w:rFonts w:hint="default" w:ascii="Times New Roman" w:hAnsi="Times New Roman" w:eastAsia="黑体" w:cs="Times New Roman"/>
          <w:sz w:val="32"/>
          <w:szCs w:val="32"/>
        </w:rPr>
        <w:t>式</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线上办理。</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w:t>
      </w:r>
      <w:r>
        <w:rPr>
          <w:rFonts w:hint="default"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rPr>
        <w:t>登录“爱山东”政务服务</w:t>
      </w:r>
      <w:r>
        <w:rPr>
          <w:rFonts w:hint="default" w:ascii="Times New Roman" w:hAnsi="Times New Roman" w:eastAsia="仿宋_GB2312" w:cs="Times New Roman"/>
          <w:sz w:val="32"/>
          <w:szCs w:val="32"/>
          <w:lang w:eastAsia="zh-CN"/>
        </w:rPr>
        <w:t>网</w:t>
      </w:r>
      <w:r>
        <w:rPr>
          <w:rFonts w:hint="default" w:ascii="Times New Roman" w:hAnsi="Times New Roman" w:eastAsia="仿宋_GB2312" w:cs="Times New Roman"/>
          <w:sz w:val="32"/>
          <w:szCs w:val="32"/>
        </w:rPr>
        <w:t>“高效办成一件事”专区</w:t>
      </w:r>
      <w:r>
        <w:rPr>
          <w:rFonts w:hint="default"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lang w:eastAsia="zh-CN"/>
        </w:rPr>
        <w:t>高新技术企业认定管理工作网</w:t>
      </w:r>
      <w:r>
        <w:rPr>
          <w:rFonts w:hint="default" w:ascii="Times New Roman" w:hAnsi="Times New Roman" w:eastAsia="仿宋_GB2312" w:cs="Times New Roman"/>
          <w:sz w:val="32"/>
          <w:szCs w:val="32"/>
        </w:rPr>
        <w:t>任一渠道进行申报。</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9</w:t>
      </w:r>
      <w:r>
        <w:rPr>
          <w:rFonts w:hint="default" w:ascii="Times New Roman" w:hAnsi="Times New Roman" w:eastAsia="黑体" w:cs="Times New Roman"/>
          <w:sz w:val="32"/>
          <w:szCs w:val="32"/>
        </w:rPr>
        <w:t>.办理流程</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（一）企业申请</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企业对照《</w:t>
      </w:r>
      <w:r>
        <w:rPr>
          <w:rFonts w:hint="default" w:ascii="Times New Roman" w:hAnsi="Times New Roman" w:eastAsia="仿宋_GB2312" w:cs="Times New Roman"/>
          <w:sz w:val="32"/>
          <w:szCs w:val="32"/>
          <w:lang w:eastAsia="zh-CN"/>
        </w:rPr>
        <w:t>高新技术企业</w:t>
      </w:r>
      <w:r>
        <w:rPr>
          <w:rFonts w:hint="default" w:ascii="Times New Roman" w:hAnsi="Times New Roman" w:eastAsia="仿宋_GB2312" w:cs="Times New Roman"/>
          <w:sz w:val="32"/>
          <w:szCs w:val="32"/>
        </w:rPr>
        <w:t>认定办法》和</w:t>
      </w:r>
      <w:r>
        <w:rPr>
          <w:rFonts w:hint="default" w:ascii="Times New Roman" w:hAnsi="Times New Roman" w:eastAsia="仿宋_GB2312" w:cs="Times New Roman"/>
          <w:sz w:val="32"/>
          <w:szCs w:val="32"/>
          <w:lang w:val="en-US" w:eastAsia="zh-CN"/>
        </w:rPr>
        <w:t>《高新技术企业认定管理工作指引》</w:t>
      </w:r>
      <w:r>
        <w:rPr>
          <w:rFonts w:hint="default" w:ascii="Times New Roman" w:hAnsi="Times New Roman" w:eastAsia="仿宋_GB2312" w:cs="Times New Roman"/>
          <w:sz w:val="32"/>
          <w:szCs w:val="32"/>
        </w:rPr>
        <w:t>进行自我评价。认为符合认定条件的在“爱山东”政务服务</w:t>
      </w:r>
      <w:r>
        <w:rPr>
          <w:rFonts w:hint="default" w:ascii="Times New Roman" w:hAnsi="Times New Roman" w:eastAsia="仿宋_GB2312" w:cs="Times New Roman"/>
          <w:sz w:val="32"/>
          <w:szCs w:val="32"/>
          <w:lang w:eastAsia="zh-CN"/>
        </w:rPr>
        <w:t>网</w:t>
      </w:r>
      <w:r>
        <w:rPr>
          <w:rFonts w:hint="default" w:ascii="Times New Roman" w:hAnsi="Times New Roman" w:eastAsia="仿宋_GB2312" w:cs="Times New Roman"/>
          <w:sz w:val="32"/>
          <w:szCs w:val="32"/>
        </w:rPr>
        <w:t>“高效办成一件事”专区</w:t>
      </w:r>
      <w:r>
        <w:rPr>
          <w:rFonts w:hint="default"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“高新技术企业认定管理工作网”注册登记，向认定机构提出认定申请。</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（二）市级审核推荐</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市科技部门对申请企业开展现场核查，对符合条件的企业，审核推荐至</w:t>
      </w:r>
      <w:r>
        <w:rPr>
          <w:rFonts w:hint="default" w:ascii="Times New Roman" w:hAnsi="Times New Roman" w:eastAsia="仿宋_GB2312" w:cs="Times New Roman"/>
          <w:sz w:val="32"/>
          <w:szCs w:val="32"/>
        </w:rPr>
        <w:t>省高新技术企业认定管理机构</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（三）前置审查</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省科技厅将受理的企业申请信息，分发或共享至</w:t>
      </w:r>
      <w:r>
        <w:rPr>
          <w:rFonts w:hint="default" w:ascii="Times New Roman" w:hAnsi="Times New Roman" w:eastAsia="仿宋_GB2312" w:cs="Times New Roman"/>
          <w:sz w:val="32"/>
          <w:szCs w:val="32"/>
          <w:lang w:eastAsia="zh-CN"/>
        </w:rPr>
        <w:t>省工业和信息化厅、省财政厅、省税务局、</w:t>
      </w:r>
      <w:r>
        <w:rPr>
          <w:rFonts w:hint="eastAsia" w:ascii="仿宋_GB2312" w:hAnsi="仿宋_GB2312" w:eastAsia="仿宋_GB2312" w:cs="仿宋_GB2312"/>
          <w:sz w:val="32"/>
          <w:szCs w:val="32"/>
        </w:rPr>
        <w:t>省应急管理厅、省市场监管局（省知识产权局）</w:t>
      </w:r>
      <w:r>
        <w:rPr>
          <w:rFonts w:hint="default" w:ascii="Times New Roman" w:hAnsi="Times New Roman" w:eastAsia="仿宋_GB2312" w:cs="Times New Roman"/>
          <w:sz w:val="32"/>
          <w:szCs w:val="32"/>
          <w:lang w:eastAsia="zh-CN"/>
        </w:rPr>
        <w:t>等联办部门，进行核验审查。</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四</w:t>
      </w:r>
      <w:r>
        <w:rPr>
          <w:rFonts w:hint="default" w:ascii="Times New Roman" w:hAnsi="Times New Roman" w:eastAsia="楷体_GB2312" w:cs="Times New Roman"/>
          <w:sz w:val="32"/>
          <w:szCs w:val="32"/>
        </w:rPr>
        <w:t>）专家评审</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省高新技术企业</w:t>
      </w:r>
      <w:r>
        <w:rPr>
          <w:rFonts w:hint="default" w:ascii="Times New Roman" w:hAnsi="Times New Roman" w:eastAsia="仿宋_GB2312" w:cs="Times New Roman"/>
          <w:sz w:val="32"/>
          <w:szCs w:val="32"/>
        </w:rPr>
        <w:t>认定</w:t>
      </w:r>
      <w:r>
        <w:rPr>
          <w:rFonts w:hint="default"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机构在符合评审要求的专家中，随机抽取组成专家组。专家组对企业申报材料进行评审，提出评审意见。</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五</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认定报备</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省高新技术企业认定管理机构结合专家组评审意见，对申请企业申报材料进行综合审查，提出认定意见，报</w:t>
      </w:r>
      <w:r>
        <w:rPr>
          <w:rFonts w:hint="default" w:ascii="Times New Roman" w:hAnsi="Times New Roman" w:eastAsia="仿宋_GB2312" w:cs="Times New Roman"/>
          <w:sz w:val="32"/>
          <w:szCs w:val="32"/>
          <w:lang w:val="en-US" w:eastAsia="zh-CN"/>
        </w:rPr>
        <w:t>全国高新技术企业认定管理工作领导小组</w:t>
      </w:r>
      <w:r>
        <w:rPr>
          <w:rFonts w:hint="default" w:ascii="Times New Roman" w:hAnsi="Times New Roman" w:eastAsia="仿宋_GB2312" w:cs="Times New Roman"/>
          <w:sz w:val="32"/>
          <w:szCs w:val="32"/>
        </w:rPr>
        <w:t>办公室备案</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（六）公示公告</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经认定报备的企业名单，由</w:t>
      </w:r>
      <w:r>
        <w:rPr>
          <w:rFonts w:hint="default" w:ascii="Times New Roman" w:hAnsi="Times New Roman" w:eastAsia="仿宋_GB2312" w:cs="Times New Roman"/>
          <w:sz w:val="32"/>
          <w:szCs w:val="32"/>
          <w:lang w:val="en-US" w:eastAsia="zh-CN"/>
        </w:rPr>
        <w:t>全国高新技术企业认定管理工作领导小组</w:t>
      </w:r>
      <w:r>
        <w:rPr>
          <w:rFonts w:hint="default" w:ascii="Times New Roman" w:hAnsi="Times New Roman" w:eastAsia="仿宋_GB2312" w:cs="Times New Roman"/>
          <w:sz w:val="32"/>
          <w:szCs w:val="32"/>
        </w:rPr>
        <w:t>办公室在“高新技术企业认定管理工作网”公示10个工作日。无异议的，予以备案，认定时间以公示时间为准，核发证书编号，并在“高新技术企业认定管理工作网”上公告企业名单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有异议的，由认定机构进行核实处理。</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（七）颁发证书</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省科技厅、省工业和信息化厅、省财政厅、省税务局向企业颁发</w:t>
      </w:r>
      <w:r>
        <w:rPr>
          <w:rFonts w:hint="default" w:ascii="Times New Roman" w:hAnsi="Times New Roman" w:eastAsia="仿宋_GB2312" w:cs="Times New Roman"/>
          <w:sz w:val="32"/>
          <w:szCs w:val="32"/>
          <w:lang w:eastAsia="zh-CN"/>
        </w:rPr>
        <w:t>“高新技术企业证书”。企业可在“爱山东”</w:t>
      </w:r>
      <w:r>
        <w:rPr>
          <w:rFonts w:hint="default" w:ascii="Times New Roman" w:hAnsi="Times New Roman" w:eastAsia="仿宋_GB2312" w:cs="Times New Roman"/>
          <w:sz w:val="32"/>
          <w:szCs w:val="32"/>
          <w:lang w:val="en-US" w:eastAsia="zh-CN"/>
        </w:rPr>
        <w:t>政务服务网申领高新技术企业电子证书。</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 w:cs="Times New Roman"/>
          <w:color w:val="000000"/>
          <w:sz w:val="32"/>
          <w:szCs w:val="32"/>
          <w:shd w:val="clear" w:color="auto" w:fill="FFFFFF"/>
          <w:lang w:eastAsia="zh-CN"/>
        </w:rPr>
      </w:pPr>
      <w:r>
        <w:rPr>
          <w:rFonts w:hint="default" w:ascii="Times New Roman" w:hAnsi="Times New Roman" w:eastAsia="黑体" w:cs="Times New Roman"/>
          <w:color w:val="000000"/>
          <w:sz w:val="32"/>
          <w:szCs w:val="32"/>
        </w:rPr>
        <w:t>1</w:t>
      </w:r>
      <w:r>
        <w:rPr>
          <w:rFonts w:hint="default" w:ascii="Times New Roman" w:hAnsi="Times New Roman" w:eastAsia="黑体" w:cs="Times New Roman"/>
          <w:color w:val="000000"/>
          <w:sz w:val="32"/>
          <w:szCs w:val="32"/>
          <w:lang w:val="en-US" w:eastAsia="zh-CN"/>
        </w:rPr>
        <w:t>0</w:t>
      </w:r>
      <w:r>
        <w:rPr>
          <w:rFonts w:hint="default" w:ascii="Times New Roman" w:hAnsi="Times New Roman" w:eastAsia="黑体" w:cs="Times New Roman"/>
          <w:color w:val="000000"/>
          <w:sz w:val="32"/>
          <w:szCs w:val="32"/>
        </w:rPr>
        <w:t>.咨询方式</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（1）在“爱山东”政务服务网-咨询电话栏目查询；</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高新技术企业认定管理工作网</w:t>
      </w:r>
      <w:r>
        <w:rPr>
          <w:rFonts w:hint="default" w:ascii="Times New Roman" w:hAnsi="Times New Roman" w:eastAsia="仿宋_GB2312" w:cs="Times New Roman"/>
          <w:sz w:val="32"/>
          <w:szCs w:val="32"/>
        </w:rPr>
        <w:t>”-“咨询</w:t>
      </w:r>
      <w:r>
        <w:rPr>
          <w:rFonts w:hint="default" w:ascii="Times New Roman" w:hAnsi="Times New Roman" w:eastAsia="仿宋_GB2312" w:cs="Times New Roman"/>
          <w:sz w:val="32"/>
          <w:szCs w:val="32"/>
          <w:lang w:eastAsia="zh-CN"/>
        </w:rPr>
        <w:t>电话</w:t>
      </w:r>
      <w:r>
        <w:rPr>
          <w:rFonts w:hint="default" w:ascii="Times New Roman" w:hAnsi="Times New Roman" w:eastAsia="仿宋_GB2312" w:cs="Times New Roman"/>
          <w:sz w:val="32"/>
          <w:szCs w:val="32"/>
        </w:rPr>
        <w:t>”-“地方认定机构咨询电话”栏目查询</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.监督投诉方式</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eastAsia="zh-CN"/>
        </w:rPr>
        <w:t>0</w:t>
      </w:r>
      <w:r>
        <w:rPr>
          <w:rFonts w:hint="default" w:ascii="Times New Roman" w:hAnsi="Times New Roman" w:eastAsia="黑体" w:cs="Times New Roman"/>
          <w:sz w:val="32"/>
          <w:szCs w:val="32"/>
          <w:highlight w:val="none"/>
          <w:lang w:val="en-US" w:eastAsia="zh-CN"/>
        </w:rPr>
        <w:t>531-51751173</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.审批结果</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结果名称:《</w:t>
      </w:r>
      <w:r>
        <w:rPr>
          <w:rFonts w:hint="default" w:ascii="Times New Roman" w:hAnsi="Times New Roman" w:eastAsia="仿宋_GB2312" w:cs="Times New Roman"/>
          <w:sz w:val="32"/>
          <w:szCs w:val="32"/>
          <w:lang w:eastAsia="zh-CN"/>
        </w:rPr>
        <w:t>高新技术企业证书</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结果类型:证照</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结果领取方式:</w:t>
      </w:r>
      <w:r>
        <w:rPr>
          <w:rFonts w:hint="default" w:ascii="Times New Roman" w:hAnsi="Times New Roman" w:eastAsia="仿宋_GB2312" w:cs="Times New Roman"/>
          <w:sz w:val="32"/>
          <w:szCs w:val="32"/>
          <w:lang w:eastAsia="zh-CN"/>
        </w:rPr>
        <w:t>网上下载</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13.结果样本</w:t>
      </w:r>
    </w:p>
    <w:p>
      <w:pPr>
        <w:keepNext w:val="0"/>
        <w:keepLines w:val="0"/>
        <w:pageBreakBefore w:val="0"/>
        <w:widowControl w:val="0"/>
        <w:numPr>
          <w:ilvl w:val="0"/>
          <w:numId w:val="0"/>
        </w:numPr>
        <w:kinsoku/>
        <w:wordWrap/>
        <w:overflowPunct/>
        <w:topLinePunct w:val="0"/>
        <w:autoSpaceDE w:val="0"/>
        <w:autoSpaceDN/>
        <w:bidi w:val="0"/>
        <w:spacing w:line="720" w:lineRule="auto"/>
        <w:jc w:val="center"/>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eastAsia="zh-CN"/>
        </w:rPr>
        <w:drawing>
          <wp:inline distT="0" distB="0" distL="114300" distR="114300">
            <wp:extent cx="4171315" cy="2851150"/>
            <wp:effectExtent l="0" t="0" r="635" b="6350"/>
            <wp:docPr id="3" name="图片 3" descr="48c5cf65b323cc7ca7cec8ca41c1f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8c5cf65b323cc7ca7cec8ca41c1fbd"/>
                    <pic:cNvPicPr>
                      <a:picLocks noChangeAspect="1"/>
                    </pic:cNvPicPr>
                  </pic:nvPicPr>
                  <pic:blipFill>
                    <a:blip r:embed="rId6"/>
                    <a:stretch>
                      <a:fillRect/>
                    </a:stretch>
                  </pic:blipFill>
                  <pic:spPr>
                    <a:xfrm>
                      <a:off x="0" y="0"/>
                      <a:ext cx="4171315" cy="2851150"/>
                    </a:xfrm>
                    <a:prstGeom prst="rect">
                      <a:avLst/>
                    </a:prstGeom>
                  </pic:spPr>
                </pic:pic>
              </a:graphicData>
            </a:graphic>
          </wp:inline>
        </w:drawing>
      </w:r>
    </w:p>
    <w:p>
      <w:pPr>
        <w:keepNext w:val="0"/>
        <w:keepLines w:val="0"/>
        <w:pageBreakBefore w:val="0"/>
        <w:widowControl w:val="0"/>
        <w:kinsoku/>
        <w:wordWrap/>
        <w:overflowPunct/>
        <w:topLinePunct w:val="0"/>
        <w:autoSpaceDE w:val="0"/>
        <w:autoSpaceDN/>
        <w:bidi w:val="0"/>
        <w:adjustRightInd w:val="0"/>
        <w:snapToGrid w:val="0"/>
        <w:spacing w:line="580" w:lineRule="exact"/>
        <w:ind w:firstLine="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14.</w:t>
      </w:r>
      <w:r>
        <w:rPr>
          <w:rFonts w:hint="default" w:ascii="Times New Roman" w:hAnsi="Times New Roman" w:eastAsia="黑体" w:cs="Times New Roman"/>
          <w:sz w:val="32"/>
          <w:szCs w:val="32"/>
        </w:rPr>
        <w:t>快递物流</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结果材料</w:t>
      </w:r>
      <w:r>
        <w:rPr>
          <w:rFonts w:hint="default" w:ascii="Times New Roman" w:hAnsi="Times New Roman" w:eastAsia="仿宋_GB2312" w:cs="Times New Roman"/>
          <w:sz w:val="32"/>
          <w:szCs w:val="32"/>
          <w:lang w:eastAsia="zh-CN"/>
        </w:rPr>
        <w:t>不</w:t>
      </w:r>
      <w:r>
        <w:rPr>
          <w:rFonts w:hint="default" w:ascii="Times New Roman" w:hAnsi="Times New Roman" w:eastAsia="仿宋_GB2312" w:cs="Times New Roman"/>
          <w:sz w:val="32"/>
          <w:szCs w:val="32"/>
        </w:rPr>
        <w:t>支持物流快递</w:t>
      </w:r>
    </w:p>
    <w:p>
      <w:pPr>
        <w:keepNext w:val="0"/>
        <w:keepLines w:val="0"/>
        <w:pageBreakBefore w:val="0"/>
        <w:widowControl w:val="0"/>
        <w:kinsoku/>
        <w:wordWrap/>
        <w:overflowPunct/>
        <w:topLinePunct w:val="0"/>
        <w:autoSpaceDE w:val="0"/>
        <w:autoSpaceDN/>
        <w:bidi w:val="0"/>
        <w:adjustRightInd w:val="0"/>
        <w:snapToGrid w:val="0"/>
        <w:spacing w:line="580" w:lineRule="exact"/>
        <w:ind w:firstLine="64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.收费</w:t>
      </w:r>
      <w:r>
        <w:rPr>
          <w:rFonts w:hint="default" w:ascii="Times New Roman" w:hAnsi="Times New Roman" w:eastAsia="黑体" w:cs="Times New Roman"/>
          <w:sz w:val="32"/>
          <w:szCs w:val="32"/>
          <w:lang w:eastAsia="zh-CN"/>
        </w:rPr>
        <w:t>标准与依据</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不收费</w:t>
      </w:r>
    </w:p>
    <w:p>
      <w:pPr>
        <w:autoSpaceDE w:val="0"/>
        <w:adjustRightInd w:val="0"/>
        <w:snapToGrid w:val="0"/>
        <w:spacing w:line="58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lang w:val="en-US" w:eastAsia="zh-CN"/>
        </w:rPr>
        <w:t>6</w:t>
      </w:r>
      <w:r>
        <w:rPr>
          <w:rFonts w:hint="default" w:ascii="Times New Roman" w:hAnsi="Times New Roman" w:eastAsia="黑体" w:cs="Times New Roman"/>
          <w:sz w:val="32"/>
          <w:szCs w:val="32"/>
        </w:rPr>
        <w:t>.办理时间</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按照年度高新技术企业认定申报通知要求，在每批次受理截止时间前申报。</w:t>
      </w:r>
    </w:p>
    <w:p>
      <w:pPr>
        <w:autoSpaceDE w:val="0"/>
        <w:adjustRightInd w:val="0"/>
        <w:snapToGrid w:val="0"/>
        <w:spacing w:line="580" w:lineRule="exact"/>
        <w:ind w:firstLine="640"/>
        <w:rPr>
          <w:rFonts w:hint="default" w:ascii="Times New Roman" w:hAnsi="Times New Roman" w:cs="Times New Roman"/>
          <w:sz w:val="32"/>
          <w:szCs w:val="32"/>
        </w:rPr>
      </w:pP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rPr>
        <w:t>.办理地点</w:t>
      </w:r>
    </w:p>
    <w:p>
      <w:pPr>
        <w:keepNext w:val="0"/>
        <w:keepLines w:val="0"/>
        <w:pageBreakBefore w:val="0"/>
        <w:widowControl w:val="0"/>
        <w:kinsoku/>
        <w:wordWrap/>
        <w:overflowPunct/>
        <w:topLinePunct w:val="0"/>
        <w:autoSpaceDE w:val="0"/>
        <w:autoSpaceDN/>
        <w:bidi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线上办理。</w:t>
      </w:r>
    </w:p>
    <w:p>
      <w:pPr>
        <w:keepNext w:val="0"/>
        <w:keepLines w:val="0"/>
        <w:pageBreakBefore w:val="0"/>
        <w:widowControl w:val="0"/>
        <w:kinsoku/>
        <w:wordWrap/>
        <w:overflowPunct/>
        <w:topLinePunct w:val="0"/>
        <w:autoSpaceDE w:val="0"/>
        <w:autoSpaceDN/>
        <w:bidi w:val="0"/>
        <w:spacing w:line="240" w:lineRule="auto"/>
        <w:jc w:val="center"/>
        <w:textAlignment w:val="auto"/>
        <w:rPr>
          <w:rFonts w:hint="default" w:ascii="Times New Roman" w:hAnsi="Times New Roman" w:eastAsia="华文楷体" w:cs="Times New Roman"/>
          <w:sz w:val="36"/>
          <w:szCs w:val="36"/>
        </w:rPr>
      </w:pPr>
    </w:p>
    <w:sectPr>
      <w:headerReference r:id="rId3" w:type="default"/>
      <w:footerReference r:id="rId4" w:type="default"/>
      <w:pgSz w:w="11906" w:h="16838"/>
      <w:pgMar w:top="2098" w:right="1191" w:bottom="1984" w:left="1191" w:header="851" w:footer="85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34EA69-E327-4B83-9A2A-3BF2017ED3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DD7E060B-0258-4EF1-81A3-409E40C9A727}"/>
  </w:font>
  <w:font w:name="仿宋">
    <w:panose1 w:val="02010609060101010101"/>
    <w:charset w:val="86"/>
    <w:family w:val="modern"/>
    <w:pitch w:val="default"/>
    <w:sig w:usb0="800002BF" w:usb1="38CF7CFA" w:usb2="00000016" w:usb3="00000000" w:csb0="00040001" w:csb1="00000000"/>
    <w:embedRegular r:id="rId3" w:fontKey="{E02022E7-9EE2-4EC0-9C7E-73D51E01FD98}"/>
  </w:font>
  <w:font w:name="仿宋_GB2312">
    <w:panose1 w:val="02010609030101010101"/>
    <w:charset w:val="86"/>
    <w:family w:val="auto"/>
    <w:pitch w:val="default"/>
    <w:sig w:usb0="00000001" w:usb1="080E0000" w:usb2="00000000" w:usb3="00000000" w:csb0="00040000" w:csb1="00000000"/>
    <w:embedRegular r:id="rId4" w:fontKey="{C954640B-106B-4362-A58A-B891DABB1504}"/>
  </w:font>
  <w:font w:name="楷体_GB2312">
    <w:panose1 w:val="02010609030101010101"/>
    <w:charset w:val="86"/>
    <w:family w:val="modern"/>
    <w:pitch w:val="default"/>
    <w:sig w:usb0="00000001" w:usb1="080E0000" w:usb2="00000000" w:usb3="00000000" w:csb0="00040000" w:csb1="00000000"/>
    <w:embedRegular r:id="rId5" w:fontKey="{94FF0275-E924-4230-8E5C-69C14A4EB57B}"/>
  </w:font>
  <w:font w:name="楷体">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embedRegular r:id="rId6" w:fontKey="{F891BEF6-E5CC-4082-9BFA-49782BC8183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- 15 -</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- 15 -</w:t>
                    </w:r>
                    <w:r>
                      <w:rPr>
                        <w:sz w:val="21"/>
                        <w:szCs w:val="21"/>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104165"/>
    <w:rsid w:val="02576CDF"/>
    <w:rsid w:val="0279691D"/>
    <w:rsid w:val="03CC1369"/>
    <w:rsid w:val="06AC65B4"/>
    <w:rsid w:val="082702E1"/>
    <w:rsid w:val="0AF07ACD"/>
    <w:rsid w:val="0BB40AED"/>
    <w:rsid w:val="0C7E1532"/>
    <w:rsid w:val="0FFADE73"/>
    <w:rsid w:val="10291B29"/>
    <w:rsid w:val="16E123EA"/>
    <w:rsid w:val="182D7E94"/>
    <w:rsid w:val="19117F60"/>
    <w:rsid w:val="23D81F61"/>
    <w:rsid w:val="24091E72"/>
    <w:rsid w:val="2A3D1CDF"/>
    <w:rsid w:val="2AE8528D"/>
    <w:rsid w:val="2E060A94"/>
    <w:rsid w:val="32411456"/>
    <w:rsid w:val="34F134DA"/>
    <w:rsid w:val="3CA53247"/>
    <w:rsid w:val="3FD076CA"/>
    <w:rsid w:val="4022565B"/>
    <w:rsid w:val="458D3C0E"/>
    <w:rsid w:val="487A531F"/>
    <w:rsid w:val="490E0E55"/>
    <w:rsid w:val="4A435071"/>
    <w:rsid w:val="4F4236F0"/>
    <w:rsid w:val="53426B62"/>
    <w:rsid w:val="53F81F83"/>
    <w:rsid w:val="55AD4E28"/>
    <w:rsid w:val="59A566C0"/>
    <w:rsid w:val="5BC30294"/>
    <w:rsid w:val="5F2E388B"/>
    <w:rsid w:val="5FF72FA6"/>
    <w:rsid w:val="657862F5"/>
    <w:rsid w:val="65B8121B"/>
    <w:rsid w:val="69322119"/>
    <w:rsid w:val="697A49DF"/>
    <w:rsid w:val="6A097D9F"/>
    <w:rsid w:val="71D94550"/>
    <w:rsid w:val="755B2C17"/>
    <w:rsid w:val="77DE46D3"/>
    <w:rsid w:val="7EFD1C47"/>
    <w:rsid w:val="8EF7FE8A"/>
    <w:rsid w:val="BF6FD64C"/>
    <w:rsid w:val="CCB79AE2"/>
    <w:rsid w:val="D5FF0D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locked/>
    <w:uiPriority w:val="9"/>
    <w:pPr>
      <w:spacing w:line="560" w:lineRule="exact"/>
      <w:jc w:val="center"/>
      <w:outlineLvl w:val="0"/>
    </w:pPr>
    <w:rPr>
      <w:rFonts w:ascii="方正小标宋简体" w:hAnsi="仿宋" w:eastAsia="方正小标宋简体"/>
      <w:sz w:val="44"/>
      <w:szCs w:val="44"/>
    </w:rPr>
  </w:style>
  <w:style w:type="paragraph" w:styleId="3">
    <w:name w:val="heading 3"/>
    <w:basedOn w:val="1"/>
    <w:next w:val="1"/>
    <w:unhideWhenUsed/>
    <w:qFormat/>
    <w:locked/>
    <w:uiPriority w:val="0"/>
    <w:pPr>
      <w:spacing w:beforeAutospacing="1" w:afterAutospacing="1"/>
      <w:jc w:val="left"/>
      <w:outlineLvl w:val="2"/>
    </w:pPr>
    <w:rPr>
      <w:rFonts w:hint="eastAsia" w:ascii="宋体" w:hAnsi="宋体"/>
      <w:b/>
      <w:bCs/>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annotation text"/>
    <w:basedOn w:val="1"/>
    <w:link w:val="31"/>
    <w:unhideWhenUsed/>
    <w:qFormat/>
    <w:uiPriority w:val="99"/>
    <w:pPr>
      <w:jc w:val="left"/>
    </w:pPr>
    <w:rPr>
      <w:szCs w:val="24"/>
    </w:rPr>
  </w:style>
  <w:style w:type="paragraph" w:styleId="5">
    <w:name w:val="Body Text"/>
    <w:basedOn w:val="1"/>
    <w:qFormat/>
    <w:uiPriority w:val="0"/>
    <w:pPr>
      <w:spacing w:line="560" w:lineRule="exact"/>
      <w:ind w:firstLine="560"/>
    </w:pPr>
    <w:rPr>
      <w:rFonts w:ascii="仿宋_GB2312" w:eastAsia="仿宋_GB2312" w:hAnsiTheme="minorEastAsia" w:cstheme="minorEastAsia"/>
      <w:sz w:val="28"/>
      <w:szCs w:val="28"/>
    </w:rPr>
  </w:style>
  <w:style w:type="paragraph" w:styleId="6">
    <w:name w:val="Body Text Indent"/>
    <w:basedOn w:val="1"/>
    <w:unhideWhenUsed/>
    <w:qFormat/>
    <w:uiPriority w:val="99"/>
    <w:pPr>
      <w:spacing w:after="120"/>
      <w:ind w:left="420" w:leftChars="200"/>
    </w:pPr>
  </w:style>
  <w:style w:type="paragraph" w:styleId="7">
    <w:name w:val="Balloon Text"/>
    <w:basedOn w:val="1"/>
    <w:link w:val="21"/>
    <w:semiHidden/>
    <w:qFormat/>
    <w:uiPriority w:val="99"/>
    <w:rPr>
      <w:kern w:val="0"/>
      <w:sz w:val="18"/>
      <w:szCs w:val="18"/>
    </w:rPr>
  </w:style>
  <w:style w:type="paragraph" w:styleId="8">
    <w:name w:val="footer"/>
    <w:basedOn w:val="1"/>
    <w:link w:val="22"/>
    <w:qFormat/>
    <w:uiPriority w:val="99"/>
    <w:pPr>
      <w:tabs>
        <w:tab w:val="center" w:pos="4153"/>
        <w:tab w:val="right" w:pos="8306"/>
      </w:tabs>
      <w:snapToGrid w:val="0"/>
      <w:jc w:val="left"/>
    </w:pPr>
    <w:rPr>
      <w:kern w:val="0"/>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Subtitle"/>
    <w:basedOn w:val="3"/>
    <w:next w:val="5"/>
    <w:qFormat/>
    <w:locked/>
    <w:uiPriority w:val="11"/>
    <w:pPr>
      <w:spacing w:line="560" w:lineRule="exact"/>
      <w:ind w:firstLine="640" w:firstLineChars="200"/>
    </w:pPr>
    <w:rPr>
      <w:rFonts w:ascii="楷体_GB2312" w:hAnsi="楷体" w:eastAsia="楷体_GB2312"/>
      <w:b w:val="0"/>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unhideWhenUsed/>
    <w:qFormat/>
    <w:uiPriority w:val="99"/>
  </w:style>
  <w:style w:type="character" w:styleId="17">
    <w:name w:val="FollowedHyperlink"/>
    <w:basedOn w:val="15"/>
    <w:unhideWhenUsed/>
    <w:qFormat/>
    <w:uiPriority w:val="99"/>
    <w:rPr>
      <w:color w:val="954F72"/>
      <w:u w:val="single"/>
    </w:rPr>
  </w:style>
  <w:style w:type="character" w:styleId="18">
    <w:name w:val="Emphasis"/>
    <w:basedOn w:val="15"/>
    <w:qFormat/>
    <w:locked/>
    <w:uiPriority w:val="0"/>
    <w:rPr>
      <w:i/>
      <w:iCs/>
    </w:rPr>
  </w:style>
  <w:style w:type="character" w:styleId="19">
    <w:name w:val="Hyperlink"/>
    <w:basedOn w:val="15"/>
    <w:unhideWhenUsed/>
    <w:qFormat/>
    <w:uiPriority w:val="99"/>
    <w:rPr>
      <w:color w:val="0563C1"/>
      <w:u w:val="single"/>
    </w:rPr>
  </w:style>
  <w:style w:type="character" w:styleId="20">
    <w:name w:val="annotation reference"/>
    <w:basedOn w:val="15"/>
    <w:unhideWhenUsed/>
    <w:qFormat/>
    <w:uiPriority w:val="99"/>
    <w:rPr>
      <w:sz w:val="21"/>
      <w:szCs w:val="21"/>
    </w:rPr>
  </w:style>
  <w:style w:type="character" w:customStyle="1" w:styleId="21">
    <w:name w:val="批注框文本 字符"/>
    <w:basedOn w:val="15"/>
    <w:link w:val="7"/>
    <w:semiHidden/>
    <w:qFormat/>
    <w:locked/>
    <w:uiPriority w:val="99"/>
    <w:rPr>
      <w:rFonts w:ascii="Times New Roman" w:hAnsi="Times New Roman" w:eastAsia="宋体"/>
      <w:sz w:val="18"/>
    </w:rPr>
  </w:style>
  <w:style w:type="character" w:customStyle="1" w:styleId="22">
    <w:name w:val="页脚 字符"/>
    <w:basedOn w:val="15"/>
    <w:link w:val="8"/>
    <w:qFormat/>
    <w:locked/>
    <w:uiPriority w:val="99"/>
    <w:rPr>
      <w:rFonts w:ascii="Times New Roman" w:hAnsi="Times New Roman" w:eastAsia="宋体"/>
      <w:sz w:val="18"/>
    </w:rPr>
  </w:style>
  <w:style w:type="character" w:customStyle="1" w:styleId="23">
    <w:name w:val="页眉 字符"/>
    <w:basedOn w:val="15"/>
    <w:link w:val="9"/>
    <w:qFormat/>
    <w:locked/>
    <w:uiPriority w:val="99"/>
    <w:rPr>
      <w:rFonts w:ascii="Times New Roman" w:hAnsi="Times New Roman" w:eastAsia="宋体"/>
      <w:sz w:val="18"/>
    </w:rPr>
  </w:style>
  <w:style w:type="paragraph" w:customStyle="1" w:styleId="24">
    <w:name w:val="List Paragraph1"/>
    <w:basedOn w:val="1"/>
    <w:qFormat/>
    <w:uiPriority w:val="99"/>
    <w:pPr>
      <w:ind w:firstLine="420" w:firstLineChars="200"/>
    </w:pPr>
  </w:style>
  <w:style w:type="paragraph" w:customStyle="1" w:styleId="25">
    <w:name w:val="列出段落1"/>
    <w:basedOn w:val="1"/>
    <w:qFormat/>
    <w:uiPriority w:val="99"/>
    <w:pPr>
      <w:ind w:firstLine="420" w:firstLineChars="200"/>
    </w:pPr>
    <w:rPr>
      <w:rFonts w:ascii="Calibri" w:hAnsi="Calibri"/>
      <w:szCs w:val="22"/>
    </w:rPr>
  </w:style>
  <w:style w:type="character" w:customStyle="1" w:styleId="26">
    <w:name w:val="qq_login_logo"/>
    <w:basedOn w:val="15"/>
    <w:qFormat/>
    <w:uiPriority w:val="99"/>
    <w:rPr>
      <w:rFonts w:cs="Times New Roman"/>
    </w:rPr>
  </w:style>
  <w:style w:type="paragraph" w:customStyle="1" w:styleId="27">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kern w:val="0"/>
      <w:sz w:val="44"/>
    </w:rPr>
  </w:style>
  <w:style w:type="paragraph" w:customStyle="1" w:styleId="28">
    <w:name w:val="修订1"/>
    <w:hidden/>
    <w:qFormat/>
    <w:uiPriority w:val="99"/>
    <w:rPr>
      <w:rFonts w:ascii="Times New Roman" w:hAnsi="Times New Roman" w:eastAsia="宋体" w:cs="Times New Roman"/>
      <w:kern w:val="2"/>
      <w:sz w:val="21"/>
      <w:lang w:val="en-US" w:eastAsia="zh-CN" w:bidi="ar-SA"/>
    </w:rPr>
  </w:style>
  <w:style w:type="table" w:customStyle="1" w:styleId="29">
    <w:name w:val="网格型1"/>
    <w:basedOn w:val="13"/>
    <w:qFormat/>
    <w:uiPriority w:val="39"/>
    <w:pPr>
      <w:jc w:val="center"/>
    </w:pPr>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31">
    <w:name w:val="批注文字 字符"/>
    <w:basedOn w:val="15"/>
    <w:link w:val="4"/>
    <w:semiHidden/>
    <w:qFormat/>
    <w:uiPriority w:val="99"/>
    <w:rPr>
      <w:kern w:val="2"/>
      <w:sz w:val="21"/>
      <w:szCs w:val="24"/>
    </w:rPr>
  </w:style>
  <w:style w:type="paragraph" w:customStyle="1" w:styleId="32">
    <w:name w:val="样式1"/>
    <w:basedOn w:val="8"/>
    <w:link w:val="33"/>
    <w:qFormat/>
    <w:uiPriority w:val="0"/>
    <w:pPr>
      <w:jc w:val="center"/>
    </w:pPr>
    <w:rPr>
      <w:rFonts w:ascii="宋体" w:hAnsi="宋体"/>
      <w:caps/>
      <w:color w:val="000000" w:themeColor="text1"/>
      <w:kern w:val="2"/>
      <w:sz w:val="28"/>
      <w:szCs w:val="28"/>
      <w14:textFill>
        <w14:solidFill>
          <w14:schemeClr w14:val="tx1"/>
        </w14:solidFill>
      </w14:textFill>
    </w:rPr>
  </w:style>
  <w:style w:type="character" w:customStyle="1" w:styleId="33">
    <w:name w:val="样式1 字符"/>
    <w:basedOn w:val="22"/>
    <w:link w:val="32"/>
    <w:qFormat/>
    <w:uiPriority w:val="0"/>
    <w:rPr>
      <w:rFonts w:ascii="宋体" w:hAnsi="宋体" w:eastAsia="宋体"/>
      <w:caps/>
      <w:color w:val="000000" w:themeColor="text1"/>
      <w:kern w:val="2"/>
      <w:sz w:val="28"/>
      <w:szCs w:val="28"/>
      <w14:textFill>
        <w14:solidFill>
          <w14:schemeClr w14:val="tx1"/>
        </w14:solidFill>
      </w14:textFill>
    </w:rPr>
  </w:style>
  <w:style w:type="paragraph" w:customStyle="1" w:styleId="34">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xl65"/>
    <w:basedOn w:val="1"/>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37">
    <w:name w:val="xl66"/>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38">
    <w:name w:val="xl6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szCs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szCs w:val="24"/>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4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4"/>
      <w:szCs w:val="24"/>
    </w:rPr>
  </w:style>
  <w:style w:type="paragraph" w:customStyle="1" w:styleId="5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24"/>
      <w:szCs w:val="24"/>
    </w:rPr>
  </w:style>
  <w:style w:type="paragraph" w:customStyle="1" w:styleId="5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u w:val="single"/>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5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6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6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64">
    <w:name w:val="xl9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5">
    <w:name w:val="xl9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66">
    <w:name w:val="xl95"/>
    <w:basedOn w:val="1"/>
    <w:qFormat/>
    <w:uiPriority w:val="0"/>
    <w:pPr>
      <w:widowControl/>
      <w:spacing w:before="100" w:beforeAutospacing="1" w:after="100" w:afterAutospacing="1"/>
      <w:jc w:val="center"/>
    </w:pPr>
    <w:rPr>
      <w:rFonts w:ascii="宋体" w:hAnsi="宋体" w:cs="宋体"/>
      <w:color w:val="000000"/>
      <w:kern w:val="0"/>
      <w:sz w:val="20"/>
    </w:rPr>
  </w:style>
  <w:style w:type="paragraph" w:customStyle="1" w:styleId="67">
    <w:name w:val="xl96"/>
    <w:basedOn w:val="1"/>
    <w:qFormat/>
    <w:uiPriority w:val="0"/>
    <w:pPr>
      <w:widowControl/>
      <w:spacing w:before="100" w:beforeAutospacing="1" w:after="100" w:afterAutospacing="1"/>
      <w:jc w:val="center"/>
    </w:pPr>
    <w:rPr>
      <w:rFonts w:ascii="宋体" w:hAnsi="宋体" w:cs="宋体"/>
      <w:color w:val="000000"/>
      <w:kern w:val="0"/>
      <w:sz w:val="20"/>
    </w:rPr>
  </w:style>
  <w:style w:type="paragraph" w:customStyle="1" w:styleId="68">
    <w:name w:val="xl97"/>
    <w:basedOn w:val="1"/>
    <w:qFormat/>
    <w:uiPriority w:val="0"/>
    <w:pPr>
      <w:widowControl/>
      <w:shd w:val="clear" w:color="000000" w:fill="FFFFFF"/>
      <w:spacing w:before="100" w:beforeAutospacing="1" w:after="100" w:afterAutospacing="1"/>
      <w:jc w:val="center"/>
    </w:pPr>
    <w:rPr>
      <w:rFonts w:ascii="宋体" w:hAnsi="宋体" w:cs="宋体"/>
      <w:color w:val="000000"/>
      <w:kern w:val="0"/>
      <w:sz w:val="20"/>
    </w:rPr>
  </w:style>
  <w:style w:type="paragraph" w:customStyle="1" w:styleId="69">
    <w:name w:val="xl98"/>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70">
    <w:name w:val="xl99"/>
    <w:basedOn w:val="1"/>
    <w:qFormat/>
    <w:uiPriority w:val="0"/>
    <w:pPr>
      <w:widowControl/>
      <w:shd w:val="clear" w:color="000000" w:fill="FFFFFF"/>
      <w:spacing w:before="100" w:beforeAutospacing="1" w:after="100" w:afterAutospacing="1"/>
      <w:jc w:val="left"/>
    </w:pPr>
    <w:rPr>
      <w:rFonts w:ascii="宋体" w:hAnsi="宋体" w:cs="宋体"/>
      <w:color w:val="000000"/>
      <w:kern w:val="0"/>
      <w:sz w:val="20"/>
    </w:rPr>
  </w:style>
  <w:style w:type="paragraph" w:customStyle="1" w:styleId="71">
    <w:name w:val="xl100"/>
    <w:basedOn w:val="1"/>
    <w:qFormat/>
    <w:uiPriority w:val="0"/>
    <w:pPr>
      <w:widowControl/>
      <w:spacing w:before="100" w:beforeAutospacing="1" w:after="100" w:afterAutospacing="1"/>
      <w:jc w:val="left"/>
    </w:pPr>
    <w:rPr>
      <w:rFonts w:ascii="宋体" w:hAnsi="宋体" w:cs="宋体"/>
      <w:kern w:val="0"/>
      <w:sz w:val="20"/>
    </w:rPr>
  </w:style>
  <w:style w:type="paragraph" w:customStyle="1" w:styleId="72">
    <w:name w:val="xl101"/>
    <w:basedOn w:val="1"/>
    <w:qFormat/>
    <w:uiPriority w:val="0"/>
    <w:pPr>
      <w:widowControl/>
      <w:shd w:val="clear" w:color="000000" w:fill="FFFFFF"/>
      <w:spacing w:before="100" w:beforeAutospacing="1" w:after="100" w:afterAutospacing="1"/>
      <w:jc w:val="left"/>
    </w:pPr>
    <w:rPr>
      <w:rFonts w:ascii="宋体" w:hAnsi="宋体" w:cs="宋体"/>
      <w:kern w:val="0"/>
      <w:sz w:val="20"/>
    </w:rPr>
  </w:style>
  <w:style w:type="paragraph" w:customStyle="1" w:styleId="73">
    <w:name w:val="xl10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74">
    <w:name w:val="xl103"/>
    <w:basedOn w:val="1"/>
    <w:qFormat/>
    <w:uiPriority w:val="0"/>
    <w:pPr>
      <w:widowControl/>
      <w:shd w:val="clear" w:color="000000" w:fill="FFFFFF"/>
      <w:spacing w:before="100" w:beforeAutospacing="1" w:after="100" w:afterAutospacing="1"/>
      <w:jc w:val="center"/>
    </w:pPr>
    <w:rPr>
      <w:rFonts w:ascii="宋体" w:hAnsi="宋体" w:cs="宋体"/>
      <w:kern w:val="0"/>
      <w:sz w:val="20"/>
    </w:rPr>
  </w:style>
  <w:style w:type="paragraph" w:customStyle="1" w:styleId="75">
    <w:name w:val="xl104"/>
    <w:basedOn w:val="1"/>
    <w:qFormat/>
    <w:uiPriority w:val="0"/>
    <w:pPr>
      <w:widowControl/>
      <w:shd w:val="clear" w:color="000000" w:fill="FFFFFF"/>
      <w:spacing w:before="100" w:beforeAutospacing="1" w:after="100" w:afterAutospacing="1"/>
      <w:jc w:val="center"/>
    </w:pPr>
    <w:rPr>
      <w:rFonts w:ascii="宋体" w:hAnsi="宋体" w:cs="宋体"/>
      <w:color w:val="000000"/>
      <w:kern w:val="0"/>
      <w:sz w:val="20"/>
    </w:rPr>
  </w:style>
  <w:style w:type="paragraph" w:customStyle="1" w:styleId="76">
    <w:name w:val="xl105"/>
    <w:basedOn w:val="1"/>
    <w:qFormat/>
    <w:uiPriority w:val="0"/>
    <w:pPr>
      <w:widowControl/>
      <w:spacing w:before="100" w:beforeAutospacing="1" w:after="100" w:afterAutospacing="1"/>
      <w:jc w:val="center"/>
    </w:pPr>
    <w:rPr>
      <w:rFonts w:ascii="宋体" w:hAnsi="宋体" w:cs="宋体"/>
      <w:kern w:val="0"/>
      <w:sz w:val="20"/>
    </w:rPr>
  </w:style>
  <w:style w:type="paragraph" w:customStyle="1" w:styleId="77">
    <w:name w:val="xl106"/>
    <w:basedOn w:val="1"/>
    <w:qFormat/>
    <w:uiPriority w:val="0"/>
    <w:pPr>
      <w:widowControl/>
      <w:spacing w:before="100" w:beforeAutospacing="1" w:after="100" w:afterAutospacing="1"/>
      <w:jc w:val="left"/>
    </w:pPr>
    <w:rPr>
      <w:rFonts w:ascii="宋体" w:hAnsi="宋体" w:cs="宋体"/>
      <w:kern w:val="0"/>
      <w:sz w:val="20"/>
    </w:rPr>
  </w:style>
  <w:style w:type="paragraph" w:customStyle="1" w:styleId="78">
    <w:name w:val="xl107"/>
    <w:basedOn w:val="1"/>
    <w:qFormat/>
    <w:uiPriority w:val="0"/>
    <w:pPr>
      <w:widowControl/>
      <w:spacing w:before="100" w:beforeAutospacing="1" w:after="100" w:afterAutospacing="1"/>
      <w:jc w:val="center"/>
    </w:pPr>
    <w:rPr>
      <w:rFonts w:ascii="宋体" w:hAnsi="宋体" w:cs="宋体"/>
      <w:kern w:val="0"/>
      <w:sz w:val="20"/>
      <w:u w:val="single"/>
    </w:rPr>
  </w:style>
  <w:style w:type="paragraph" w:customStyle="1" w:styleId="79">
    <w:name w:val="xl10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80">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szCs w:val="24"/>
    </w:rPr>
  </w:style>
  <w:style w:type="paragraph" w:customStyle="1" w:styleId="81">
    <w:name w:val="xl11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rPr>
  </w:style>
  <w:style w:type="paragraph" w:customStyle="1" w:styleId="82">
    <w:name w:val="xl111"/>
    <w:basedOn w:val="1"/>
    <w:qFormat/>
    <w:uiPriority w:val="0"/>
    <w:pPr>
      <w:widowControl/>
      <w:spacing w:before="100" w:beforeAutospacing="1" w:after="100" w:afterAutospacing="1"/>
      <w:jc w:val="left"/>
    </w:pPr>
    <w:rPr>
      <w:rFonts w:ascii="宋体" w:hAnsi="宋体" w:cs="宋体"/>
      <w:b/>
      <w:bCs/>
      <w:kern w:val="0"/>
      <w:sz w:val="24"/>
      <w:szCs w:val="24"/>
    </w:rPr>
  </w:style>
  <w:style w:type="paragraph" w:customStyle="1" w:styleId="83">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84">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85">
    <w:name w:val="font61"/>
    <w:basedOn w:val="15"/>
    <w:qFormat/>
    <w:uiPriority w:val="0"/>
    <w:rPr>
      <w:rFonts w:hint="eastAsia" w:ascii="仿宋_GB2312" w:eastAsia="仿宋_GB2312" w:cs="仿宋_GB2312"/>
      <w:b/>
      <w:bCs/>
      <w:color w:val="000000"/>
      <w:sz w:val="22"/>
      <w:szCs w:val="22"/>
      <w:u w:val="none"/>
    </w:rPr>
  </w:style>
  <w:style w:type="character" w:customStyle="1" w:styleId="86">
    <w:name w:val="font71"/>
    <w:basedOn w:val="15"/>
    <w:qFormat/>
    <w:uiPriority w:val="0"/>
    <w:rPr>
      <w:rFonts w:hint="eastAsia" w:ascii="仿宋_GB2312" w:eastAsia="仿宋_GB2312" w:cs="仿宋_GB2312"/>
      <w:color w:val="000000"/>
      <w:sz w:val="24"/>
      <w:szCs w:val="24"/>
      <w:u w:val="none"/>
    </w:rPr>
  </w:style>
  <w:style w:type="character" w:customStyle="1" w:styleId="87">
    <w:name w:val="font51"/>
    <w:basedOn w:val="15"/>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6</Pages>
  <Words>3347</Words>
  <Characters>3377</Characters>
  <Lines>2</Lines>
  <Paragraphs>2</Paragraphs>
  <TotalTime>4</TotalTime>
  <ScaleCrop>false</ScaleCrop>
  <LinksUpToDate>false</LinksUpToDate>
  <CharactersWithSpaces>3389</CharactersWithSpaces>
  <Application>WPS Office_11.8.2.12330_F1E327BC-269C-435d-A152-05C5408002CA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2024-05-22T09:52:00Z</dcterms:created>
  <dc:creator>PC</dc:creator>
  <cp:lastModifiedBy>Administrator</cp:lastModifiedBy>
  <cp:lastPrinted>2026-09-01T00:42:00Z</cp:lastPrinted>
  <dcterms:modified xsi:type="dcterms:W3CDTF">2026-09-08T01:05:19Z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06F2D3B7E8D64B788020188EB8759906</vt:lpwstr>
  </property>
  <property fmtid="{D5CDD505-2E9C-101B-9397-08002B2CF9AE}" pid="4" name="KSOTemplateDocerSaveRecord">
    <vt:lpwstr>eyJoZGlkIjoiNWM0NTQ1ODVhY2EzMjY1ZjQyZjQ3NTZiOTkwMWZmMGQiLCJ1c2VySWQiOiIxMTAwMjEwNjgyIn0=</vt:lpwstr>
  </property>
</Properties>
</file>