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各市调查人员信息表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94"/>
        <w:gridCol w:w="1101"/>
        <w:gridCol w:w="1413"/>
        <w:gridCol w:w="1146"/>
        <w:gridCol w:w="1137"/>
        <w:gridCol w:w="1163"/>
        <w:gridCol w:w="1475"/>
        <w:gridCol w:w="1454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负责</w:t>
            </w:r>
            <w:r>
              <w:rPr>
                <w:rFonts w:hint="eastAsia" w:ascii="Times New Roman"/>
                <w:sz w:val="24"/>
              </w:rPr>
              <w:t>区域</w:t>
            </w: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职务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电话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</w:t>
            </w: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电子邮箱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调查负责人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调查员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</w:tbl>
    <w:p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</w:p>
    <w:p>
      <w:r>
        <w:rPr>
          <w:rFonts w:hint="eastAsia" w:ascii="Times New Roman"/>
          <w:sz w:val="24"/>
        </w:rPr>
        <w:t>注：对调查负责人和调查员数量不作上限要求，可根据实际情况填报。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D92704A"/>
    <w:rsid w:val="53DE7BA6"/>
    <w:rsid w:val="5D9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2024-03-29T07:22:00Z</dcterms:created>
  <dc:creator>'Always</dc:creator>
  <cp:lastModifiedBy>'Always</cp:lastModifiedBy>
  <dcterms:modified xsi:type="dcterms:W3CDTF">2024-03-29T07:22:38Z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E8BA3509BF014E27BBC2C434B77F0E29_11</vt:lpwstr>
  </property>
</Properties>
</file>