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1DB84">
      <w:pPr>
        <w:adjustRightInd w:val="0"/>
        <w:snapToGrid w:val="0"/>
        <w:spacing w:beforeLines="0" w:afterLines="0" w:line="58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4</w:t>
      </w:r>
    </w:p>
    <w:p w14:paraId="6FD168B6">
      <w:pPr>
        <w:adjustRightInd w:val="0"/>
        <w:snapToGrid w:val="0"/>
        <w:spacing w:beforeLines="0" w:after="0" w:afterLines="0" w:afterAutospacing="0"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eastAsia" w:eastAsia="方正小标宋简体"/>
          <w:sz w:val="44"/>
          <w:szCs w:val="44"/>
          <w:lang w:val="en-US" w:eastAsia="zh-CN"/>
        </w:rPr>
        <w:t>5</w:t>
      </w:r>
      <w:r>
        <w:rPr>
          <w:rFonts w:eastAsia="方正小标宋简体"/>
          <w:sz w:val="44"/>
          <w:szCs w:val="44"/>
        </w:rPr>
        <w:t>年度高新技术企业申报推荐汇总表</w:t>
      </w:r>
    </w:p>
    <w:p w14:paraId="5BFE0A29">
      <w:pPr>
        <w:adjustRightInd w:val="0"/>
        <w:snapToGrid w:val="0"/>
        <w:spacing w:beforeLines="0" w:after="0" w:afterLines="0" w:afterAutospacing="0" w:line="580" w:lineRule="exact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推荐单位（盖章）                                         填表日期：202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 xml:space="preserve">年  月   日  </w:t>
      </w:r>
    </w:p>
    <w:tbl>
      <w:tblPr>
        <w:tblStyle w:val="4"/>
        <w:tblW w:w="14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484"/>
        <w:gridCol w:w="1134"/>
        <w:gridCol w:w="1134"/>
        <w:gridCol w:w="1276"/>
        <w:gridCol w:w="2273"/>
        <w:gridCol w:w="1559"/>
        <w:gridCol w:w="1276"/>
        <w:gridCol w:w="1276"/>
        <w:gridCol w:w="992"/>
        <w:gridCol w:w="992"/>
      </w:tblGrid>
      <w:tr w14:paraId="3C8F8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638" w:type="dxa"/>
            <w:vAlign w:val="center"/>
          </w:tcPr>
          <w:p w14:paraId="2C574166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序号</w:t>
            </w:r>
          </w:p>
        </w:tc>
        <w:tc>
          <w:tcPr>
            <w:tcW w:w="1484" w:type="dxa"/>
            <w:vAlign w:val="center"/>
          </w:tcPr>
          <w:p w14:paraId="53EF0E84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企业名称</w:t>
            </w:r>
          </w:p>
        </w:tc>
        <w:tc>
          <w:tcPr>
            <w:tcW w:w="1134" w:type="dxa"/>
            <w:vAlign w:val="center"/>
          </w:tcPr>
          <w:p w14:paraId="656E65CE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注册成立时间</w:t>
            </w:r>
          </w:p>
        </w:tc>
        <w:tc>
          <w:tcPr>
            <w:tcW w:w="1134" w:type="dxa"/>
            <w:vAlign w:val="center"/>
          </w:tcPr>
          <w:p w14:paraId="102F047D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专项审计中介机构</w:t>
            </w:r>
          </w:p>
        </w:tc>
        <w:tc>
          <w:tcPr>
            <w:tcW w:w="1276" w:type="dxa"/>
            <w:vAlign w:val="center"/>
          </w:tcPr>
          <w:p w14:paraId="0A44FC4B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年度财务审计中介机构</w:t>
            </w:r>
          </w:p>
        </w:tc>
        <w:tc>
          <w:tcPr>
            <w:tcW w:w="2273" w:type="dxa"/>
            <w:vAlign w:val="center"/>
          </w:tcPr>
          <w:p w14:paraId="6BCE78B9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申请认定前一年内是否发生重大安全、重大质量事故或严重环境违法行为（是\否）</w:t>
            </w:r>
          </w:p>
        </w:tc>
        <w:tc>
          <w:tcPr>
            <w:tcW w:w="1559" w:type="dxa"/>
            <w:vAlign w:val="center"/>
          </w:tcPr>
          <w:p w14:paraId="46C910BF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申报材料与核实情况是否一致（是</w:t>
            </w:r>
            <w:r>
              <w:rPr>
                <w:rFonts w:hint="eastAsia" w:eastAsia="黑体"/>
                <w:bCs/>
                <w:sz w:val="24"/>
                <w:lang w:val="en-US" w:eastAsia="zh-CN"/>
              </w:rPr>
              <w:t>/</w:t>
            </w:r>
            <w:r>
              <w:rPr>
                <w:rFonts w:eastAsia="黑体"/>
                <w:bCs/>
                <w:sz w:val="24"/>
              </w:rPr>
              <w:t>否）</w:t>
            </w:r>
          </w:p>
        </w:tc>
        <w:tc>
          <w:tcPr>
            <w:tcW w:w="1276" w:type="dxa"/>
          </w:tcPr>
          <w:p w14:paraId="3D50A024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申请书封皮（诚信承诺）是否合规</w:t>
            </w:r>
          </w:p>
        </w:tc>
        <w:tc>
          <w:tcPr>
            <w:tcW w:w="1276" w:type="dxa"/>
            <w:vAlign w:val="center"/>
          </w:tcPr>
          <w:p w14:paraId="3FBD9B46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eastAsia" w:eastAsia="黑体"/>
                <w:bCs/>
                <w:color w:val="auto"/>
                <w:sz w:val="24"/>
                <w:u w:val="none"/>
                <w:lang w:val="en-US" w:eastAsia="zh-CN"/>
              </w:rPr>
            </w:pPr>
            <w:r>
              <w:rPr>
                <w:rFonts w:eastAsia="黑体"/>
                <w:bCs/>
                <w:color w:val="auto"/>
                <w:sz w:val="24"/>
                <w:u w:val="none"/>
              </w:rPr>
              <w:t>所在区县</w:t>
            </w:r>
            <w:r>
              <w:rPr>
                <w:rFonts w:eastAsia="黑体"/>
                <w:bCs/>
                <w:color w:val="auto"/>
                <w:sz w:val="24"/>
                <w:u w:val="none"/>
              </w:rPr>
              <w:br w:type="textWrapping"/>
            </w:r>
            <w:r>
              <w:rPr>
                <w:rFonts w:hint="eastAsia" w:eastAsia="黑体"/>
                <w:bCs/>
                <w:color w:val="auto"/>
                <w:sz w:val="24"/>
                <w:u w:val="none"/>
                <w:lang w:eastAsia="zh-CN"/>
              </w:rPr>
              <w:t>（</w:t>
            </w:r>
            <w:r>
              <w:rPr>
                <w:rFonts w:hint="eastAsia" w:eastAsia="黑体"/>
                <w:bCs/>
                <w:color w:val="auto"/>
                <w:sz w:val="24"/>
                <w:u w:val="none"/>
                <w:lang w:val="en-US" w:eastAsia="zh-CN"/>
              </w:rPr>
              <w:t>标准行</w:t>
            </w:r>
          </w:p>
          <w:p w14:paraId="490A5018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eastAsia" w:eastAsia="黑体"/>
                <w:bCs/>
                <w:sz w:val="24"/>
                <w:lang w:eastAsia="zh-CN"/>
              </w:rPr>
            </w:pPr>
            <w:r>
              <w:rPr>
                <w:rFonts w:hint="eastAsia" w:eastAsia="黑体"/>
                <w:bCs/>
                <w:color w:val="auto"/>
                <w:sz w:val="24"/>
                <w:u w:val="none"/>
                <w:lang w:val="en-US" w:eastAsia="zh-CN"/>
              </w:rPr>
              <w:t>政区</w:t>
            </w:r>
            <w:r>
              <w:rPr>
                <w:rFonts w:hint="eastAsia" w:eastAsia="黑体"/>
                <w:bCs/>
                <w:color w:val="auto"/>
                <w:sz w:val="24"/>
                <w:u w:val="none"/>
                <w:lang w:eastAsia="zh-CN"/>
              </w:rPr>
              <w:t>）</w:t>
            </w:r>
          </w:p>
        </w:tc>
        <w:tc>
          <w:tcPr>
            <w:tcW w:w="992" w:type="dxa"/>
            <w:vAlign w:val="center"/>
          </w:tcPr>
          <w:p w14:paraId="2D0C9848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hint="default" w:eastAsia="黑体"/>
                <w:bCs/>
                <w:sz w:val="24"/>
                <w:lang w:val="en-US" w:eastAsia="zh-CN"/>
              </w:rPr>
            </w:pPr>
            <w:r>
              <w:rPr>
                <w:rFonts w:hint="eastAsia" w:eastAsia="黑体"/>
                <w:bCs/>
                <w:color w:val="auto"/>
                <w:sz w:val="24"/>
                <w:u w:val="none"/>
                <w:lang w:val="en-US" w:eastAsia="zh-CN"/>
              </w:rPr>
              <w:t>所在国家级高新区/经开区</w:t>
            </w:r>
          </w:p>
        </w:tc>
        <w:tc>
          <w:tcPr>
            <w:tcW w:w="992" w:type="dxa"/>
            <w:vAlign w:val="center"/>
          </w:tcPr>
          <w:p w14:paraId="76B8C665">
            <w:pPr>
              <w:adjustRightInd w:val="0"/>
              <w:snapToGrid w:val="0"/>
              <w:spacing w:beforeLines="0" w:afterLines="0" w:line="480" w:lineRule="exact"/>
              <w:jc w:val="center"/>
              <w:rPr>
                <w:rFonts w:eastAsia="黑体"/>
                <w:bCs/>
                <w:sz w:val="24"/>
              </w:rPr>
            </w:pPr>
            <w:r>
              <w:rPr>
                <w:rFonts w:eastAsia="黑体"/>
                <w:bCs/>
                <w:sz w:val="24"/>
              </w:rPr>
              <w:t>备注</w:t>
            </w:r>
          </w:p>
        </w:tc>
      </w:tr>
      <w:tr w14:paraId="49E7B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 w14:paraId="3F4B867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74F68F75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</w:tcPr>
          <w:p w14:paraId="158C006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643665D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1767E34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273" w:type="dxa"/>
          </w:tcPr>
          <w:p w14:paraId="5A76F1C8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5DB935E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14701380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413CD5B9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26FCCAFB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450B6160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26CE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 w14:paraId="541586E3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506FA8E5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</w:tcPr>
          <w:p w14:paraId="67F2219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F1A35A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5C72C8AD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273" w:type="dxa"/>
          </w:tcPr>
          <w:p w14:paraId="7A1493BD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58595975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40BF0C94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643B2710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186BA5F8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72F9C773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  <w:tr w14:paraId="378D3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8" w:type="dxa"/>
            <w:vAlign w:val="center"/>
          </w:tcPr>
          <w:p w14:paraId="10898428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484" w:type="dxa"/>
            <w:vAlign w:val="center"/>
          </w:tcPr>
          <w:p w14:paraId="229C093C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</w:tcPr>
          <w:p w14:paraId="10BF384E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9554D3A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0F6D3F1E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2273" w:type="dxa"/>
          </w:tcPr>
          <w:p w14:paraId="12D4A65F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559" w:type="dxa"/>
          </w:tcPr>
          <w:p w14:paraId="52A74A85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1D55A496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1276" w:type="dxa"/>
          </w:tcPr>
          <w:p w14:paraId="4C5EA31A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2A356D2A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6E4E1E6A">
            <w:pPr>
              <w:adjustRightInd w:val="0"/>
              <w:snapToGrid w:val="0"/>
              <w:spacing w:beforeLines="0" w:afterLines="0" w:line="580" w:lineRule="exact"/>
              <w:jc w:val="center"/>
              <w:rPr>
                <w:rFonts w:eastAsia="仿宋_GB2312"/>
                <w:b/>
                <w:bCs/>
                <w:sz w:val="24"/>
              </w:rPr>
            </w:pPr>
          </w:p>
        </w:tc>
      </w:tr>
    </w:tbl>
    <w:p w14:paraId="1A88566C">
      <w:pPr>
        <w:widowControl/>
        <w:adjustRightInd w:val="0"/>
        <w:snapToGrid w:val="0"/>
        <w:spacing w:beforeLines="0" w:afterLines="0" w:line="580" w:lineRule="exact"/>
        <w:rPr>
          <w:szCs w:val="21"/>
        </w:rPr>
      </w:pPr>
      <w:r>
        <w:rPr>
          <w:rFonts w:eastAsia="仿宋"/>
          <w:sz w:val="28"/>
          <w:szCs w:val="28"/>
        </w:rPr>
        <w:t xml:space="preserve">联系人：    </w:t>
      </w:r>
      <w:r>
        <w:rPr>
          <w:sz w:val="28"/>
          <w:szCs w:val="28"/>
        </w:rPr>
        <w:t xml:space="preserve">      </w:t>
      </w:r>
      <w:r>
        <w:rPr>
          <w:rFonts w:eastAsia="仿宋"/>
          <w:sz w:val="28"/>
          <w:szCs w:val="28"/>
        </w:rPr>
        <w:t xml:space="preserve">              联系电话：</w:t>
      </w:r>
      <w:r>
        <w:rPr>
          <w:szCs w:val="21"/>
        </w:rPr>
        <w:t xml:space="preserve">                </w:t>
      </w:r>
    </w:p>
    <w:p w14:paraId="6A64F99B">
      <w:pPr>
        <w:adjustRightInd w:val="0"/>
        <w:snapToGrid w:val="0"/>
        <w:spacing w:beforeLines="0" w:afterLines="0" w:line="580" w:lineRule="exact"/>
        <w:ind w:left="566" w:hanging="424" w:hangingChars="177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注：备注栏中，属于首次申报的，标注“首次认定”；202</w:t>
      </w:r>
      <w:r>
        <w:rPr>
          <w:rFonts w:hint="eastAsia" w:eastAsia="仿宋_GB2312"/>
          <w:bCs/>
          <w:sz w:val="24"/>
          <w:lang w:val="en-US" w:eastAsia="zh-CN"/>
        </w:rPr>
        <w:t>2</w:t>
      </w:r>
      <w:r>
        <w:rPr>
          <w:rFonts w:eastAsia="仿宋_GB2312"/>
          <w:bCs/>
          <w:sz w:val="24"/>
        </w:rPr>
        <w:t>年认定通过的高企，今年重新申报的，标注“202</w:t>
      </w:r>
      <w:r>
        <w:rPr>
          <w:rFonts w:hint="eastAsia" w:eastAsia="仿宋_GB2312"/>
          <w:bCs/>
          <w:sz w:val="24"/>
          <w:lang w:val="en-US" w:eastAsia="zh-CN"/>
        </w:rPr>
        <w:t>2</w:t>
      </w:r>
      <w:r>
        <w:rPr>
          <w:rFonts w:eastAsia="仿宋_GB2312"/>
          <w:bCs/>
          <w:sz w:val="24"/>
        </w:rPr>
        <w:t>重新认定”；</w:t>
      </w:r>
    </w:p>
    <w:p w14:paraId="6FC8A115">
      <w:pPr>
        <w:adjustRightInd w:val="0"/>
        <w:snapToGrid w:val="0"/>
        <w:spacing w:beforeLines="0" w:afterLines="0" w:line="580" w:lineRule="exact"/>
        <w:ind w:left="210" w:leftChars="100" w:firstLine="240" w:firstLineChars="100"/>
      </w:pPr>
      <w:r>
        <w:rPr>
          <w:rFonts w:eastAsia="仿宋_GB2312"/>
          <w:bCs/>
          <w:sz w:val="24"/>
        </w:rPr>
        <w:t>目前不是高企但2008-202</w:t>
      </w:r>
      <w:r>
        <w:rPr>
          <w:rFonts w:hint="eastAsia" w:eastAsia="仿宋_GB2312"/>
          <w:bCs/>
          <w:sz w:val="24"/>
          <w:lang w:val="en-US" w:eastAsia="zh-CN"/>
        </w:rPr>
        <w:t>1</w:t>
      </w:r>
      <w:r>
        <w:rPr>
          <w:rFonts w:eastAsia="仿宋_GB2312"/>
          <w:bCs/>
          <w:sz w:val="24"/>
        </w:rPr>
        <w:t>年期间曾具备高企资格，重新申报的，标注“其他重新认定”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4E9D9">
    <w:pPr>
      <w:pStyle w:val="3"/>
      <w:numPr>
        <w:ilvl w:val="0"/>
        <w:numId w:val="0"/>
      </w:numPr>
      <w:ind w:leftChars="0"/>
      <w:jc w:val="both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BBECD5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BBECD5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371791"/>
    <w:rsid w:val="2237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semiHidden/>
    <w:qFormat/>
    <w:uiPriority w:val="99"/>
    <w:pPr>
      <w:spacing w:after="120" w:line="480" w:lineRule="auto"/>
      <w:ind w:left="420" w:leftChars="200"/>
    </w:pPr>
    <w:rPr>
      <w:rFonts w:ascii="Times New Roman" w:hAnsi="Times New Roman" w:cs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2025-06-05T11:44:00Z</dcterms:created>
  <dc:creator>康晓慧</dc:creator>
  <cp:lastModifiedBy>康晓慧</cp:lastModifiedBy>
  <dcterms:modified xsi:type="dcterms:W3CDTF">2025-06-05T11:45:50Z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36D0191369434258A31F9A44BF7F3228_11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