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rPr>
          <w:rFonts w:hint="eastAsia" w:ascii="Times New Roman" w:hAnsi="黑体" w:eastAsia="黑体"/>
          <w:sz w:val="28"/>
          <w:szCs w:val="28"/>
        </w:rPr>
      </w:pPr>
    </w:p>
    <w:p>
      <w:pPr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2019年度山东省实验动物行政许可单位</w:t>
      </w:r>
    </w:p>
    <w:p>
      <w:pPr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“双随机</w:t>
      </w: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2"/>
          <w:szCs w:val="32"/>
        </w:rPr>
        <w:t>一公开” 检查结果汇总表</w:t>
      </w:r>
    </w:p>
    <w:tbl>
      <w:tblPr>
        <w:tblStyle w:val="2"/>
        <w:tblpPr w:leftFromText="180" w:rightFromText="180" w:vertAnchor="text" w:horzAnchor="margin" w:tblpX="-210" w:tblpY="111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472"/>
        <w:gridCol w:w="414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许可证号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单位名称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2016 0016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青岛易邦生物工程有限公司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0030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山东国际生物科技园发展有限公司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2017 0004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山东弘立医学动物实验研究有限公司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2017 0022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山东中医药大学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0009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山东省千佛山医院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0010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山东亦度生物技术有限公司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0026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青岛博隆实验动物有限公司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0031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山东省药学科学院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SCXK(鲁) 2015 0001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济南西岭角养殖繁育中心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2017 0003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山东省医学科学院药物研究所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SCXK(鲁) 2017 0005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青岛康大生物科技有限公司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SCXK(鲁) 2018 0003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济南朋悦实验动物繁育有限公司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SYXK(鲁) 2018 0014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山东省疾病预防控制中心</w:t>
            </w:r>
          </w:p>
        </w:tc>
        <w:tc>
          <w:tcPr>
            <w:tcW w:w="116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通过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23C70D1"/>
    <w:rsid w:val="023C70D1"/>
    <w:rsid w:val="360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438</Characters>
  <Lines>0</Lines>
  <Paragraphs>0</Paragraphs>
  <TotalTime>0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2020-01-19T03:11:00Z</dcterms:created>
  <dc:creator>Administrator</dc:creator>
  <cp:lastModifiedBy>'Always</cp:lastModifiedBy>
  <dcterms:modified xsi:type="dcterms:W3CDTF">2024-03-19T06:47:03Z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2C2C439B0DF54E21AF1FDB9DBC35218B_13</vt:lpwstr>
  </property>
</Properties>
</file>