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</w:p>
    <w:p>
      <w:pPr>
        <w:spacing w:before="289" w:beforeLines="50" w:after="289" w:afterLines="50" w:line="58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2020年新建省技术创新中心名单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3681"/>
        <w:gridCol w:w="3261"/>
        <w:gridCol w:w="15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tblHeader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中心名称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建设主体单位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主管部门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山东省干细胞与再生医学技术创新中心（筹）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山东省药物研究院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省医科院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山东省肿瘤大数据与精准医疗技术创新中心（筹）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山东省晶型药物技术创新中心（筹）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山东罗欣药业集团股份有限公司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临沂市科技局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山东省智能诊断技术创新中心（筹）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山东（医科院）第一医科大学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济南市科技局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山东省分子靶向智能诊疗技术创新中心（筹）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滨州医学院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省教育厅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山东省小麦技术创新中心（筹）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山东省农业科学院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省农科院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山东省设施蔬菜技术创新中心（筹）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山东省寿光蔬菜产业集团有限公司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潍坊市科技局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8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山东省现代设施果树技术创新中心（筹）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山东省果树研究所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省农科院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山东省电子陶瓷材料技术创新中心（筹）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山东国瓷功能材料股份有限公司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东营市科技局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山东省非粮乙醇生物炼制技术创新中心（筹）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山东泓达生物（集团）科技有限公司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临沂市科技局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11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山东省特殊钢新材料技术创新中心（筹）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西王金属科技有限公司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滨州市科技局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12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山东省镁铝合金材料技术创新中心（筹）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威海万丰镁业科技发展有限公司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威海市科技局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13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山东省节能环保锅炉装备技术创新中心（筹）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青岛达能环保设备股份有限公司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青岛市科技局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14</w:t>
            </w:r>
          </w:p>
        </w:tc>
        <w:tc>
          <w:tcPr>
            <w:tcW w:w="3681" w:type="dxa"/>
            <w:shd w:val="clear" w:color="auto" w:fill="FFFFFF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山东省无水染色技术及装备技术创新中心（筹）</w:t>
            </w:r>
          </w:p>
        </w:tc>
        <w:tc>
          <w:tcPr>
            <w:tcW w:w="3261" w:type="dxa"/>
            <w:shd w:val="clear" w:color="auto" w:fill="FFFFFF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青岛即发集团股份有限公司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青岛市科技局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15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山东省海洋智能系统与装备技术创新中心（筹）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中国海洋大学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山东省海上航天装备技术创新中心（筹）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鲁东大学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烟台市科技局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17</w:t>
            </w:r>
          </w:p>
        </w:tc>
        <w:tc>
          <w:tcPr>
            <w:tcW w:w="3681" w:type="dxa"/>
            <w:shd w:val="clear" w:color="auto" w:fill="FFFFFF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山东省航空轮胎技术创新中心（筹）</w:t>
            </w:r>
          </w:p>
        </w:tc>
        <w:tc>
          <w:tcPr>
            <w:tcW w:w="3261" w:type="dxa"/>
            <w:shd w:val="clear" w:color="auto" w:fill="FFFFFF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青岛森麒麟轮胎股份有限公司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青岛市科技局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山东省医用高端软件技术创新中心（筹）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 w:bidi="ar"/>
              </w:rPr>
              <w:t>山东</w:t>
            </w: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众阳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 w:bidi="ar"/>
              </w:rPr>
              <w:t>健康科技集团</w:t>
            </w: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济南市科技局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19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山东省微纳卫星技术创新中心（筹）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山东航天电子技术研究所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烟台市科技局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山东省智能无人系统技术创新中心（筹）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山东科技大学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省教育厅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21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山东省深远海绿色养殖技术创新中心（筹）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日照市万泽丰渔业有限公司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日照市科技局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22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山东省农产品现代物流技术创新中心（筹）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山东省商业集团有限公司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济南市科技局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23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山东省采油装备技术创新中心（筹）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胜利油田高原石油装备有限责任公司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东营市科技局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山东省糖技术创新中心（筹）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25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山东省花生技术创新中心（筹）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山东省花生研究所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省农科院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26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山东省海藻与海参技术创新中心（筹）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山东东方海洋科技股份有限公司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烟台市科技局</w:t>
            </w:r>
          </w:p>
        </w:tc>
      </w:tr>
    </w:tbl>
    <w:p>
      <w:pPr>
        <w:spacing w:line="580" w:lineRule="exact"/>
        <w:ind w:firstLine="640" w:firstLineChars="200"/>
        <w:rPr>
          <w:rFonts w:hAnsi="仿宋_GB2312"/>
          <w:szCs w:val="32"/>
        </w:rPr>
      </w:pPr>
    </w:p>
    <w:p>
      <w:pPr>
        <w:spacing w:line="240" w:lineRule="exact"/>
        <w:rPr>
          <w:rFonts w:hint="eastAsia" w:ascii="黑体" w:hAnsi="黑体" w:eastAsia="黑体" w:cs="黑体"/>
          <w:color w:val="000000"/>
          <w:szCs w:val="32"/>
        </w:rPr>
      </w:pPr>
    </w:p>
    <w:p>
      <w:pPr>
        <w:spacing w:line="240" w:lineRule="exact"/>
        <w:rPr>
          <w:rFonts w:hint="eastAsia" w:ascii="黑体" w:hAnsi="黑体" w:eastAsia="黑体" w:cs="黑体"/>
          <w:color w:val="000000"/>
          <w:szCs w:val="32"/>
        </w:rPr>
      </w:pPr>
    </w:p>
    <w:p>
      <w:pPr>
        <w:spacing w:line="240" w:lineRule="exact"/>
        <w:rPr>
          <w:rFonts w:hint="eastAsia" w:ascii="黑体" w:hAnsi="黑体" w:eastAsia="黑体" w:cs="黑体"/>
          <w:color w:val="00000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62488"/>
    <w:rsid w:val="2A962488"/>
    <w:rsid w:val="6F2A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2020-12-31T07:11:00Z</dcterms:created>
  <dc:creator>CH</dc:creator>
  <cp:lastModifiedBy>CH</cp:lastModifiedBy>
  <dcterms:modified xsi:type="dcterms:W3CDTF">2020-12-31T07:11:16Z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