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Times New Roman" w:hAnsi="Times New Roman" w:eastAsia="黑体"/>
          <w:bCs/>
          <w:sz w:val="32"/>
          <w:szCs w:val="32"/>
        </w:rPr>
      </w:pPr>
      <w:r>
        <w:rPr>
          <w:rFonts w:hint="eastAsia" w:ascii="Times New Roman" w:hAnsi="Times New Roman" w:eastAsia="黑体"/>
          <w:bCs/>
          <w:sz w:val="32"/>
          <w:szCs w:val="32"/>
        </w:rPr>
        <w:t>附件</w:t>
      </w:r>
    </w:p>
    <w:p>
      <w:pPr>
        <w:spacing w:line="570" w:lineRule="exact"/>
        <w:contextualSpacing/>
        <w:rPr>
          <w:rFonts w:ascii="Times New Roman" w:hAnsi="Times New Roman" w:eastAsia="黑体"/>
          <w:bCs/>
          <w:sz w:val="32"/>
          <w:szCs w:val="32"/>
        </w:rPr>
      </w:pPr>
    </w:p>
    <w:p>
      <w:pPr>
        <w:pStyle w:val="3"/>
        <w:widowControl w:val="0"/>
        <w:spacing w:before="0" w:beforeAutospacing="0" w:after="0" w:afterAutospacing="0" w:line="570" w:lineRule="exact"/>
        <w:contextualSpacing/>
        <w:jc w:val="center"/>
        <w:rPr>
          <w:rStyle w:val="6"/>
          <w:rFonts w:hint="eastAsia" w:ascii="Times New Roman" w:hAnsi="Times New Roman" w:eastAsia="方正小标宋简体" w:cs="Times New Roman"/>
          <w:b w:val="0"/>
          <w:sz w:val="44"/>
          <w:szCs w:val="44"/>
        </w:rPr>
      </w:pPr>
      <w:r>
        <w:rPr>
          <w:rStyle w:val="6"/>
          <w:rFonts w:hint="eastAsia" w:ascii="Times New Roman" w:hAnsi="Times New Roman" w:eastAsia="方正小标宋简体" w:cs="Times New Roman"/>
          <w:b w:val="0"/>
          <w:sz w:val="44"/>
          <w:szCs w:val="44"/>
        </w:rPr>
        <w:t>创业大赛获奖人选支持政策</w:t>
      </w:r>
    </w:p>
    <w:p>
      <w:pPr>
        <w:pStyle w:val="3"/>
        <w:widowControl w:val="0"/>
        <w:spacing w:before="0" w:beforeAutospacing="0" w:after="0" w:afterAutospacing="0" w:line="570" w:lineRule="exact"/>
        <w:contextualSpacing/>
        <w:jc w:val="both"/>
        <w:rPr>
          <w:rFonts w:ascii="Times New Roman" w:hAnsi="Times New Roman" w:eastAsia="黑体" w:cs="Times New Roman"/>
          <w:bCs/>
          <w:sz w:val="32"/>
          <w:szCs w:val="32"/>
        </w:rPr>
      </w:pPr>
    </w:p>
    <w:p>
      <w:pPr>
        <w:pStyle w:val="3"/>
        <w:widowControl w:val="0"/>
        <w:shd w:val="clear" w:color="auto" w:fill="FFFFFF"/>
        <w:spacing w:before="0" w:beforeAutospacing="0" w:after="0" w:afterAutospacing="0" w:line="570" w:lineRule="exact"/>
        <w:ind w:firstLine="640" w:firstLineChars="200"/>
        <w:contextualSpacing/>
        <w:jc w:val="both"/>
        <w:rPr>
          <w:rFonts w:hint="eastAsia" w:ascii="Times New Roman" w:hAnsi="Times New Roman" w:eastAsia="黑体" w:cs="黑体"/>
          <w:bCs/>
          <w:sz w:val="32"/>
          <w:szCs w:val="32"/>
        </w:rPr>
      </w:pPr>
      <w:r>
        <w:rPr>
          <w:rFonts w:hint="eastAsia" w:ascii="Times New Roman" w:hAnsi="Times New Roman" w:eastAsia="黑体" w:cs="黑体"/>
          <w:bCs/>
          <w:sz w:val="32"/>
          <w:szCs w:val="32"/>
        </w:rPr>
        <w:t>一、创业企业类人选</w:t>
      </w:r>
    </w:p>
    <w:p>
      <w:pPr>
        <w:pStyle w:val="3"/>
        <w:widowControl w:val="0"/>
        <w:shd w:val="clear" w:color="auto" w:fill="FFFFFF"/>
        <w:spacing w:before="0" w:beforeAutospacing="0" w:after="0" w:afterAutospacing="0" w:line="570" w:lineRule="exact"/>
        <w:ind w:firstLine="640" w:firstLineChars="200"/>
        <w:contextualSpacing/>
        <w:jc w:val="both"/>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省财政一次性给予每名入选者50万元创业启动经费，对符合条件的企业，按程序组织进行尽调，通过省财政科技股权投资或新旧动能转换基金参股方式，择优给予最高1000万元支持，股权投资期限结合人才项目建设实际确定，最长可按规定延至10年。对泰山产业领军人才工程创业领军人才中提出股权投资申请的（申请须在发文公布后2年内提出），省科技厅按程序组织有关机构开展尽职调查并确定投资计划，积极实施投资支持，充分保障创业人才成长发展。</w:t>
      </w:r>
    </w:p>
    <w:p>
      <w:pPr>
        <w:pStyle w:val="3"/>
        <w:widowControl w:val="0"/>
        <w:shd w:val="clear" w:color="auto" w:fill="FFFFFF"/>
        <w:spacing w:before="0" w:beforeAutospacing="0" w:after="0" w:afterAutospacing="0" w:line="570" w:lineRule="exact"/>
        <w:ind w:firstLine="640" w:firstLineChars="200"/>
        <w:contextualSpacing/>
        <w:jc w:val="both"/>
        <w:rPr>
          <w:rFonts w:hint="eastAsia" w:ascii="Times New Roman" w:hAnsi="Times New Roman" w:eastAsia="黑体" w:cs="黑体"/>
          <w:bCs/>
          <w:sz w:val="32"/>
          <w:szCs w:val="32"/>
        </w:rPr>
      </w:pPr>
      <w:r>
        <w:rPr>
          <w:rFonts w:hint="eastAsia" w:ascii="Times New Roman" w:hAnsi="Times New Roman" w:eastAsia="黑体" w:cs="黑体"/>
          <w:bCs/>
          <w:sz w:val="32"/>
          <w:szCs w:val="32"/>
        </w:rPr>
        <w:t>二、创业团队类人选</w:t>
      </w:r>
    </w:p>
    <w:p>
      <w:r>
        <w:rPr>
          <w:rFonts w:hint="eastAsia" w:ascii="Times New Roman" w:hAnsi="Times New Roman" w:eastAsia="仿宋_GB2312" w:cs="Times New Roman"/>
          <w:bCs/>
          <w:sz w:val="32"/>
          <w:szCs w:val="32"/>
        </w:rPr>
        <w:t>各市积极对接，做好后续跟踪服务，创造条件鼓励引导人选落地山东创办企业。人选创办企业完成工商注册、验资等相关工作后，省财政给予每名人选30万元创业启动经费。根据人才创业实际需要，由各市协调给予办公场地、投融资、创业辅导等方面配套服务。剩余20万元创业启动经费在人选正式纳入泰山产业领军人才工程管理后按程序拨付。创业团队类人选申请纳入工程支持须在大赛结束后1年内落地，企业成立已满1年，且满足创业企业类人选创办企业的第2款条件和第3款条件（销售收入、研发投入、获得投资等按减半标准要求），大赛胜出团队落地创办企业的有关人选至多有2次接受现场考察机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74EF5"/>
    <w:rsid w:val="0E4C6246"/>
    <w:rsid w:val="22174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6">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2021-12-30T09:27:00Z</dcterms:created>
  <dc:creator>CH</dc:creator>
  <cp:lastModifiedBy>CH</cp:lastModifiedBy>
  <dcterms:modified xsi:type="dcterms:W3CDTF">2021-12-30T09:28:03Z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