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color w:val="000000"/>
          <w:szCs w:val="32"/>
        </w:rPr>
      </w:pPr>
      <w:r>
        <w:rPr>
          <w:rFonts w:eastAsia="黑体"/>
          <w:bCs/>
          <w:color w:val="000000"/>
          <w:szCs w:val="32"/>
        </w:rPr>
        <w:t>附件3</w:t>
      </w:r>
    </w:p>
    <w:p>
      <w:pPr>
        <w:contextualSpacing/>
        <w:jc w:val="center"/>
        <w:rPr>
          <w:rFonts w:eastAsia="方正小标宋简体"/>
          <w:bCs/>
          <w:color w:val="000000"/>
          <w:sz w:val="44"/>
          <w:szCs w:val="44"/>
        </w:rPr>
      </w:pPr>
      <w:r>
        <w:rPr>
          <w:rFonts w:hint="eastAsia" w:eastAsia="方正小标宋简体"/>
          <w:bCs/>
          <w:color w:val="000000"/>
          <w:sz w:val="44"/>
          <w:szCs w:val="44"/>
        </w:rPr>
        <w:t>省级</w:t>
      </w:r>
      <w:r>
        <w:rPr>
          <w:rFonts w:eastAsia="方正小标宋简体"/>
          <w:bCs/>
          <w:color w:val="000000"/>
          <w:sz w:val="44"/>
          <w:szCs w:val="44"/>
        </w:rPr>
        <w:t>农业高新技术产业开发区创建指标</w:t>
      </w:r>
    </w:p>
    <w:tbl>
      <w:tblPr>
        <w:tblStyle w:val="3"/>
        <w:tblW w:w="8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3662"/>
        <w:gridCol w:w="1021"/>
        <w:gridCol w:w="1276"/>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363" w:type="dxa"/>
            <w:tcBorders>
              <w:right w:val="single" w:color="auto" w:sz="4" w:space="0"/>
            </w:tcBorders>
            <w:noWrap w:val="0"/>
            <w:vAlign w:val="center"/>
          </w:tcPr>
          <w:p>
            <w:pPr>
              <w:widowControl/>
              <w:spacing w:line="360" w:lineRule="exact"/>
              <w:ind w:left="-38" w:leftChars="-12" w:right="-176" w:rightChars="-55"/>
              <w:jc w:val="center"/>
              <w:rPr>
                <w:bCs/>
                <w:color w:val="000000"/>
                <w:kern w:val="0"/>
                <w:sz w:val="24"/>
              </w:rPr>
            </w:pPr>
            <w:r>
              <w:rPr>
                <w:bCs/>
                <w:color w:val="000000"/>
                <w:kern w:val="0"/>
                <w:sz w:val="24"/>
              </w:rPr>
              <w:t>一级指标</w:t>
            </w:r>
          </w:p>
        </w:tc>
        <w:tc>
          <w:tcPr>
            <w:tcW w:w="3662" w:type="dxa"/>
            <w:tcBorders>
              <w:left w:val="single" w:color="auto" w:sz="4" w:space="0"/>
            </w:tcBorders>
            <w:noWrap w:val="0"/>
            <w:vAlign w:val="center"/>
          </w:tcPr>
          <w:p>
            <w:pPr>
              <w:widowControl/>
              <w:spacing w:line="360" w:lineRule="exact"/>
              <w:ind w:left="-166" w:leftChars="-52" w:right="-176" w:rightChars="-55"/>
              <w:jc w:val="center"/>
              <w:rPr>
                <w:bCs/>
                <w:color w:val="000000"/>
                <w:kern w:val="0"/>
                <w:sz w:val="24"/>
              </w:rPr>
            </w:pPr>
            <w:r>
              <w:rPr>
                <w:bCs/>
                <w:color w:val="000000"/>
                <w:kern w:val="0"/>
                <w:sz w:val="24"/>
              </w:rPr>
              <w:t>二级指标</w:t>
            </w:r>
          </w:p>
        </w:tc>
        <w:tc>
          <w:tcPr>
            <w:tcW w:w="1021" w:type="dxa"/>
            <w:noWrap w:val="0"/>
            <w:vAlign w:val="center"/>
          </w:tcPr>
          <w:p>
            <w:pPr>
              <w:widowControl/>
              <w:spacing w:line="360" w:lineRule="exact"/>
              <w:ind w:left="-173" w:leftChars="-54" w:right="-176" w:rightChars="-55"/>
              <w:jc w:val="center"/>
              <w:rPr>
                <w:bCs/>
                <w:color w:val="000000"/>
                <w:kern w:val="0"/>
                <w:sz w:val="24"/>
              </w:rPr>
            </w:pPr>
            <w:r>
              <w:rPr>
                <w:bCs/>
                <w:color w:val="000000"/>
                <w:kern w:val="0"/>
                <w:sz w:val="24"/>
              </w:rPr>
              <w:t>权重</w:t>
            </w:r>
          </w:p>
        </w:tc>
        <w:tc>
          <w:tcPr>
            <w:tcW w:w="1276" w:type="dxa"/>
            <w:noWrap w:val="0"/>
            <w:vAlign w:val="center"/>
          </w:tcPr>
          <w:p>
            <w:pPr>
              <w:widowControl/>
              <w:spacing w:line="360" w:lineRule="exact"/>
              <w:ind w:left="-170" w:leftChars="-53" w:right="-173" w:rightChars="-54"/>
              <w:jc w:val="center"/>
              <w:rPr>
                <w:bCs/>
                <w:color w:val="000000"/>
                <w:kern w:val="0"/>
                <w:sz w:val="24"/>
              </w:rPr>
            </w:pPr>
            <w:r>
              <w:rPr>
                <w:bCs/>
                <w:color w:val="000000"/>
                <w:kern w:val="0"/>
                <w:sz w:val="24"/>
              </w:rPr>
              <w:t>指标性质</w:t>
            </w:r>
          </w:p>
        </w:tc>
        <w:tc>
          <w:tcPr>
            <w:tcW w:w="1419" w:type="dxa"/>
            <w:noWrap w:val="0"/>
            <w:vAlign w:val="center"/>
          </w:tcPr>
          <w:p>
            <w:pPr>
              <w:widowControl/>
              <w:spacing w:line="360" w:lineRule="exact"/>
              <w:ind w:left="-170" w:leftChars="-53" w:right="-170" w:rightChars="-53"/>
              <w:jc w:val="center"/>
              <w:rPr>
                <w:bCs/>
                <w:color w:val="000000"/>
                <w:kern w:val="0"/>
                <w:sz w:val="24"/>
              </w:rPr>
            </w:pPr>
            <w:r>
              <w:rPr>
                <w:bCs/>
                <w:color w:val="000000"/>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restart"/>
            <w:noWrap w:val="0"/>
            <w:vAlign w:val="center"/>
          </w:tcPr>
          <w:p>
            <w:pPr>
              <w:widowControl/>
              <w:spacing w:line="360" w:lineRule="exact"/>
              <w:ind w:left="-38" w:leftChars="-12" w:right="-176" w:rightChars="-55"/>
              <w:jc w:val="center"/>
              <w:rPr>
                <w:color w:val="000000"/>
                <w:kern w:val="0"/>
                <w:sz w:val="24"/>
              </w:rPr>
            </w:pPr>
            <w:r>
              <w:rPr>
                <w:color w:val="000000"/>
                <w:kern w:val="0"/>
                <w:sz w:val="24"/>
              </w:rPr>
              <w:t>农高区规划（10分）</w:t>
            </w:r>
          </w:p>
        </w:tc>
        <w:tc>
          <w:tcPr>
            <w:tcW w:w="3662" w:type="dxa"/>
            <w:tcBorders>
              <w:bottom w:val="single" w:color="auto" w:sz="4" w:space="0"/>
            </w:tcBorders>
            <w:noWrap w:val="0"/>
            <w:vAlign w:val="center"/>
          </w:tcPr>
          <w:p>
            <w:pPr>
              <w:rPr>
                <w:color w:val="000000"/>
                <w:kern w:val="0"/>
                <w:sz w:val="24"/>
              </w:rPr>
            </w:pPr>
            <w:r>
              <w:rPr>
                <w:color w:val="000000"/>
                <w:kern w:val="0"/>
                <w:sz w:val="24"/>
              </w:rPr>
              <w:t>主题定位</w:t>
            </w:r>
          </w:p>
        </w:tc>
        <w:tc>
          <w:tcPr>
            <w:tcW w:w="1021" w:type="dxa"/>
            <w:tcBorders>
              <w:bottom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定性指标</w:t>
            </w:r>
          </w:p>
        </w:tc>
        <w:tc>
          <w:tcPr>
            <w:tcW w:w="1419" w:type="dxa"/>
            <w:tcBorders>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exac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rPr>
                <w:color w:val="000000"/>
                <w:kern w:val="0"/>
                <w:sz w:val="24"/>
              </w:rPr>
            </w:pPr>
            <w:r>
              <w:rPr>
                <w:color w:val="000000"/>
                <w:kern w:val="0"/>
                <w:sz w:val="24"/>
              </w:rPr>
              <w:t>功能布局</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定性指标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restart"/>
            <w:noWrap w:val="0"/>
            <w:vAlign w:val="center"/>
          </w:tcPr>
          <w:p>
            <w:pPr>
              <w:widowControl/>
              <w:spacing w:line="360" w:lineRule="exact"/>
              <w:ind w:left="-38" w:leftChars="-12" w:right="-176" w:rightChars="-55"/>
              <w:jc w:val="center"/>
              <w:rPr>
                <w:color w:val="000000"/>
                <w:kern w:val="0"/>
                <w:sz w:val="24"/>
              </w:rPr>
            </w:pPr>
            <w:r>
              <w:rPr>
                <w:color w:val="000000"/>
                <w:kern w:val="0"/>
                <w:sz w:val="24"/>
              </w:rPr>
              <w:t>产业基础</w:t>
            </w:r>
          </w:p>
          <w:p>
            <w:pPr>
              <w:widowControl/>
              <w:spacing w:line="360" w:lineRule="exact"/>
              <w:ind w:left="-38" w:leftChars="-12" w:right="-176" w:rightChars="-55"/>
              <w:jc w:val="center"/>
              <w:rPr>
                <w:color w:val="000000"/>
                <w:kern w:val="0"/>
                <w:sz w:val="24"/>
              </w:rPr>
            </w:pPr>
            <w:r>
              <w:rPr>
                <w:color w:val="000000"/>
                <w:kern w:val="0"/>
                <w:sz w:val="24"/>
              </w:rPr>
              <w:t>（40分）</w:t>
            </w:r>
          </w:p>
        </w:tc>
        <w:tc>
          <w:tcPr>
            <w:tcW w:w="3662" w:type="dxa"/>
            <w:tcBorders>
              <w:bottom w:val="single" w:color="auto" w:sz="4" w:space="0"/>
            </w:tcBorders>
            <w:noWrap w:val="0"/>
            <w:vAlign w:val="center"/>
          </w:tcPr>
          <w:p>
            <w:pPr>
              <w:rPr>
                <w:color w:val="000000"/>
                <w:kern w:val="0"/>
                <w:sz w:val="24"/>
              </w:rPr>
            </w:pPr>
            <w:r>
              <w:rPr>
                <w:color w:val="000000"/>
                <w:kern w:val="0"/>
                <w:sz w:val="24"/>
              </w:rPr>
              <w:t>主导产业</w:t>
            </w:r>
          </w:p>
        </w:tc>
        <w:tc>
          <w:tcPr>
            <w:tcW w:w="1021" w:type="dxa"/>
            <w:tcBorders>
              <w:bottom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定性指标</w:t>
            </w:r>
          </w:p>
        </w:tc>
        <w:tc>
          <w:tcPr>
            <w:tcW w:w="1419" w:type="dxa"/>
            <w:tcBorders>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主导产业产值（万元）</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省级及以上农业产业化龙头企业数量（个）</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高新技术产业产值占比（%）</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63" w:type="dxa"/>
            <w:vMerge w:val="restart"/>
            <w:noWrap w:val="0"/>
            <w:vAlign w:val="center"/>
          </w:tcPr>
          <w:p>
            <w:pPr>
              <w:widowControl/>
              <w:spacing w:line="360" w:lineRule="exact"/>
              <w:ind w:left="-38" w:leftChars="-12" w:right="-176" w:rightChars="-55"/>
              <w:jc w:val="center"/>
              <w:rPr>
                <w:color w:val="000000"/>
                <w:kern w:val="0"/>
                <w:sz w:val="24"/>
              </w:rPr>
            </w:pPr>
            <w:r>
              <w:rPr>
                <w:color w:val="000000"/>
                <w:kern w:val="0"/>
                <w:sz w:val="24"/>
              </w:rPr>
              <w:t>科技创新</w:t>
            </w:r>
          </w:p>
          <w:p>
            <w:pPr>
              <w:widowControl/>
              <w:spacing w:line="360" w:lineRule="exact"/>
              <w:ind w:left="-38" w:leftChars="-12" w:right="-176" w:rightChars="-55"/>
              <w:jc w:val="center"/>
              <w:rPr>
                <w:color w:val="000000"/>
                <w:kern w:val="0"/>
                <w:sz w:val="24"/>
              </w:rPr>
            </w:pPr>
            <w:r>
              <w:rPr>
                <w:color w:val="000000"/>
                <w:kern w:val="0"/>
                <w:sz w:val="24"/>
              </w:rPr>
              <w:t>（35分）</w:t>
            </w:r>
          </w:p>
        </w:tc>
        <w:tc>
          <w:tcPr>
            <w:tcW w:w="3662" w:type="dxa"/>
            <w:tcBorders>
              <w:bottom w:val="single" w:color="auto" w:sz="4" w:space="0"/>
            </w:tcBorders>
            <w:noWrap w:val="0"/>
            <w:vAlign w:val="center"/>
          </w:tcPr>
          <w:p>
            <w:pPr>
              <w:snapToGrid w:val="0"/>
              <w:rPr>
                <w:color w:val="000000"/>
                <w:kern w:val="0"/>
                <w:sz w:val="24"/>
              </w:rPr>
            </w:pPr>
            <w:r>
              <w:rPr>
                <w:color w:val="000000"/>
                <w:kern w:val="0"/>
                <w:sz w:val="24"/>
              </w:rPr>
              <w:t>规上企业研发投入占比（%）</w:t>
            </w:r>
          </w:p>
        </w:tc>
        <w:tc>
          <w:tcPr>
            <w:tcW w:w="1021" w:type="dxa"/>
            <w:tcBorders>
              <w:bottom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bottom w:val="single" w:color="auto" w:sz="4" w:space="0"/>
            </w:tcBorders>
            <w:noWrap w:val="0"/>
            <w:vAlign w:val="center"/>
          </w:tcPr>
          <w:p>
            <w:pPr>
              <w:snapToGrid w:val="0"/>
              <w:rPr>
                <w:color w:val="000000"/>
                <w:kern w:val="0"/>
                <w:sz w:val="24"/>
              </w:rPr>
            </w:pPr>
            <w:r>
              <w:rPr>
                <w:color w:val="000000"/>
                <w:kern w:val="0"/>
                <w:sz w:val="24"/>
              </w:rPr>
              <w:t>高新技术企业数量（个）</w:t>
            </w:r>
          </w:p>
        </w:tc>
        <w:tc>
          <w:tcPr>
            <w:tcW w:w="1021" w:type="dxa"/>
            <w:tcBorders>
              <w:top w:val="single" w:color="auto" w:sz="4" w:space="0"/>
              <w:bottom w:val="single" w:color="auto" w:sz="4" w:space="0"/>
            </w:tcBorders>
            <w:noWrap w:val="0"/>
            <w:vAlign w:val="center"/>
          </w:tcPr>
          <w:p>
            <w:pPr>
              <w:widowControl/>
              <w:spacing w:line="360" w:lineRule="exact"/>
              <w:jc w:val="center"/>
              <w:rPr>
                <w:color w:val="000000"/>
                <w:kern w:val="0"/>
                <w:sz w:val="24"/>
              </w:rPr>
            </w:pPr>
            <w:r>
              <w:rPr>
                <w:color w:val="000000"/>
                <w:kern w:val="0"/>
                <w:sz w:val="24"/>
              </w:rPr>
              <w:t>10</w:t>
            </w:r>
          </w:p>
        </w:tc>
        <w:tc>
          <w:tcPr>
            <w:tcW w:w="1276" w:type="dxa"/>
            <w:tcBorders>
              <w:top w:val="single" w:color="auto" w:sz="4" w:space="0"/>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bottom w:val="single" w:color="auto" w:sz="4" w:space="0"/>
            </w:tcBorders>
            <w:noWrap w:val="0"/>
            <w:vAlign w:val="center"/>
          </w:tcPr>
          <w:p>
            <w:pPr>
              <w:snapToGrid w:val="0"/>
              <w:rPr>
                <w:color w:val="000000"/>
                <w:kern w:val="0"/>
                <w:sz w:val="24"/>
              </w:rPr>
            </w:pPr>
            <w:r>
              <w:rPr>
                <w:color w:val="000000"/>
                <w:kern w:val="0"/>
                <w:sz w:val="24"/>
              </w:rPr>
              <w:t>省级及以上创新平台数量（个）</w:t>
            </w:r>
          </w:p>
        </w:tc>
        <w:tc>
          <w:tcPr>
            <w:tcW w:w="1021" w:type="dxa"/>
            <w:tcBorders>
              <w:top w:val="single" w:color="auto" w:sz="4" w:space="0"/>
              <w:bottom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top w:val="single" w:color="auto" w:sz="4" w:space="0"/>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科技创新团队数量（个）</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与高校院所产学研合作数量（个）</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363" w:type="dxa"/>
            <w:vMerge w:val="restart"/>
            <w:noWrap w:val="0"/>
            <w:vAlign w:val="center"/>
          </w:tcPr>
          <w:p>
            <w:pPr>
              <w:widowControl/>
              <w:spacing w:line="360" w:lineRule="exact"/>
              <w:ind w:left="-38" w:leftChars="-12" w:right="-176" w:rightChars="-55"/>
              <w:jc w:val="center"/>
              <w:rPr>
                <w:color w:val="000000"/>
                <w:kern w:val="0"/>
                <w:sz w:val="24"/>
              </w:rPr>
            </w:pPr>
            <w:r>
              <w:rPr>
                <w:color w:val="000000"/>
                <w:kern w:val="0"/>
                <w:sz w:val="24"/>
              </w:rPr>
              <w:t>管理与服务（10分）</w:t>
            </w:r>
          </w:p>
        </w:tc>
        <w:tc>
          <w:tcPr>
            <w:tcW w:w="3662" w:type="dxa"/>
            <w:tcBorders>
              <w:bottom w:val="single" w:color="auto" w:sz="4" w:space="0"/>
            </w:tcBorders>
            <w:noWrap w:val="0"/>
            <w:vAlign w:val="center"/>
          </w:tcPr>
          <w:p>
            <w:pPr>
              <w:snapToGrid w:val="0"/>
              <w:rPr>
                <w:color w:val="000000"/>
                <w:kern w:val="0"/>
                <w:sz w:val="24"/>
              </w:rPr>
            </w:pPr>
            <w:r>
              <w:rPr>
                <w:color w:val="000000"/>
                <w:kern w:val="0"/>
                <w:sz w:val="24"/>
              </w:rPr>
              <w:t>管理机构</w:t>
            </w:r>
          </w:p>
        </w:tc>
        <w:tc>
          <w:tcPr>
            <w:tcW w:w="1021" w:type="dxa"/>
            <w:tcBorders>
              <w:bottom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bottom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定性指标</w:t>
            </w:r>
          </w:p>
        </w:tc>
        <w:tc>
          <w:tcPr>
            <w:tcW w:w="1419" w:type="dxa"/>
            <w:tcBorders>
              <w:bottom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jc w:val="center"/>
        </w:trPr>
        <w:tc>
          <w:tcPr>
            <w:tcW w:w="1363" w:type="dxa"/>
            <w:vMerge w:val="continue"/>
            <w:noWrap w:val="0"/>
            <w:vAlign w:val="center"/>
          </w:tcPr>
          <w:p>
            <w:pPr>
              <w:widowControl/>
              <w:spacing w:line="360" w:lineRule="exact"/>
              <w:ind w:left="-38" w:leftChars="-12" w:right="-176" w:rightChars="-55"/>
              <w:jc w:val="center"/>
              <w:rPr>
                <w:color w:val="000000"/>
                <w:kern w:val="0"/>
                <w:sz w:val="24"/>
              </w:rPr>
            </w:pPr>
          </w:p>
        </w:tc>
        <w:tc>
          <w:tcPr>
            <w:tcW w:w="3662" w:type="dxa"/>
            <w:tcBorders>
              <w:top w:val="single" w:color="auto" w:sz="4" w:space="0"/>
            </w:tcBorders>
            <w:noWrap w:val="0"/>
            <w:vAlign w:val="center"/>
          </w:tcPr>
          <w:p>
            <w:pPr>
              <w:snapToGrid w:val="0"/>
              <w:rPr>
                <w:color w:val="000000"/>
                <w:kern w:val="0"/>
                <w:sz w:val="24"/>
              </w:rPr>
            </w:pPr>
            <w:r>
              <w:rPr>
                <w:color w:val="000000"/>
                <w:kern w:val="0"/>
                <w:sz w:val="24"/>
              </w:rPr>
              <w:t>各类转移转化、创业孵化、科技金融、人才服务平台数量（个）</w:t>
            </w:r>
          </w:p>
        </w:tc>
        <w:tc>
          <w:tcPr>
            <w:tcW w:w="1021" w:type="dxa"/>
            <w:tcBorders>
              <w:top w:val="single" w:color="auto" w:sz="4" w:space="0"/>
            </w:tcBorders>
            <w:noWrap w:val="0"/>
            <w:vAlign w:val="center"/>
          </w:tcPr>
          <w:p>
            <w:pPr>
              <w:widowControl/>
              <w:spacing w:line="360" w:lineRule="exact"/>
              <w:jc w:val="center"/>
              <w:rPr>
                <w:color w:val="000000"/>
                <w:kern w:val="0"/>
                <w:sz w:val="24"/>
              </w:rPr>
            </w:pPr>
            <w:r>
              <w:rPr>
                <w:color w:val="000000"/>
                <w:kern w:val="0"/>
                <w:sz w:val="24"/>
              </w:rPr>
              <w:t>5</w:t>
            </w:r>
          </w:p>
        </w:tc>
        <w:tc>
          <w:tcPr>
            <w:tcW w:w="1276" w:type="dxa"/>
            <w:tcBorders>
              <w:top w:val="single" w:color="auto" w:sz="4" w:space="0"/>
            </w:tcBorders>
            <w:noWrap w:val="0"/>
            <w:vAlign w:val="center"/>
          </w:tcPr>
          <w:p>
            <w:pPr>
              <w:widowControl/>
              <w:spacing w:line="360" w:lineRule="exact"/>
              <w:ind w:left="-170" w:leftChars="-53" w:right="-173" w:rightChars="-54"/>
              <w:jc w:val="center"/>
              <w:rPr>
                <w:color w:val="000000"/>
                <w:kern w:val="0"/>
                <w:sz w:val="24"/>
              </w:rPr>
            </w:pPr>
            <w:r>
              <w:rPr>
                <w:color w:val="000000"/>
                <w:kern w:val="0"/>
                <w:sz w:val="24"/>
              </w:rPr>
              <w:t>定量指标</w:t>
            </w:r>
          </w:p>
        </w:tc>
        <w:tc>
          <w:tcPr>
            <w:tcW w:w="1419" w:type="dxa"/>
            <w:tcBorders>
              <w:top w:val="single" w:color="auto" w:sz="4" w:space="0"/>
            </w:tcBorders>
            <w:noWrap w:val="0"/>
            <w:vAlign w:val="center"/>
          </w:tcPr>
          <w:p>
            <w:pPr>
              <w:widowControl/>
              <w:spacing w:line="360" w:lineRule="exact"/>
              <w:ind w:left="-170" w:leftChars="-53" w:right="-170" w:rightChars="-53"/>
              <w:jc w:val="center"/>
              <w:rPr>
                <w:color w:val="000000"/>
                <w:kern w:val="0"/>
                <w:sz w:val="24"/>
              </w:rPr>
            </w:pPr>
            <w:r>
              <w:rPr>
                <w:color w:val="000000"/>
                <w:kern w:val="0"/>
                <w:sz w:val="24"/>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1363" w:type="dxa"/>
            <w:noWrap w:val="0"/>
            <w:vAlign w:val="center"/>
          </w:tcPr>
          <w:p>
            <w:pPr>
              <w:widowControl/>
              <w:spacing w:line="360" w:lineRule="exact"/>
              <w:ind w:left="-38" w:leftChars="-12" w:right="-176" w:rightChars="-55"/>
              <w:jc w:val="center"/>
              <w:rPr>
                <w:color w:val="000000"/>
                <w:kern w:val="0"/>
                <w:sz w:val="24"/>
              </w:rPr>
            </w:pPr>
            <w:r>
              <w:rPr>
                <w:color w:val="000000"/>
                <w:kern w:val="0"/>
                <w:sz w:val="24"/>
              </w:rPr>
              <w:t>其他突出优势（5分）</w:t>
            </w:r>
          </w:p>
        </w:tc>
        <w:tc>
          <w:tcPr>
            <w:tcW w:w="3662" w:type="dxa"/>
            <w:noWrap w:val="0"/>
            <w:vAlign w:val="center"/>
          </w:tcPr>
          <w:p>
            <w:pPr>
              <w:snapToGrid w:val="0"/>
              <w:rPr>
                <w:color w:val="000000"/>
                <w:kern w:val="0"/>
                <w:sz w:val="24"/>
              </w:rPr>
            </w:pPr>
            <w:r>
              <w:rPr>
                <w:color w:val="000000"/>
                <w:kern w:val="0"/>
                <w:sz w:val="24"/>
              </w:rPr>
              <w:t>对农高区发展有重大支撑作用的政策举措、平台、人才、项目、成果等</w:t>
            </w:r>
          </w:p>
        </w:tc>
        <w:tc>
          <w:tcPr>
            <w:tcW w:w="1021" w:type="dxa"/>
            <w:noWrap w:val="0"/>
            <w:vAlign w:val="center"/>
          </w:tcPr>
          <w:p>
            <w:pPr>
              <w:widowControl/>
              <w:spacing w:line="360" w:lineRule="exact"/>
              <w:jc w:val="center"/>
              <w:rPr>
                <w:color w:val="000000"/>
                <w:kern w:val="0"/>
                <w:sz w:val="24"/>
              </w:rPr>
            </w:pPr>
            <w:r>
              <w:rPr>
                <w:color w:val="000000"/>
                <w:kern w:val="0"/>
                <w:sz w:val="24"/>
              </w:rPr>
              <w:t>5</w:t>
            </w:r>
          </w:p>
        </w:tc>
        <w:tc>
          <w:tcPr>
            <w:tcW w:w="1276" w:type="dxa"/>
            <w:noWrap w:val="0"/>
            <w:vAlign w:val="center"/>
          </w:tcPr>
          <w:p>
            <w:pPr>
              <w:widowControl/>
              <w:spacing w:line="360" w:lineRule="exact"/>
              <w:ind w:left="-170" w:leftChars="-53" w:right="-173" w:rightChars="-54"/>
              <w:jc w:val="center"/>
              <w:rPr>
                <w:color w:val="000000"/>
                <w:kern w:val="0"/>
                <w:sz w:val="24"/>
              </w:rPr>
            </w:pPr>
            <w:r>
              <w:rPr>
                <w:color w:val="000000"/>
                <w:kern w:val="0"/>
                <w:sz w:val="24"/>
              </w:rPr>
              <w:t>定性指标</w:t>
            </w:r>
          </w:p>
        </w:tc>
        <w:tc>
          <w:tcPr>
            <w:tcW w:w="1419" w:type="dxa"/>
            <w:noWrap w:val="0"/>
            <w:vAlign w:val="center"/>
          </w:tcPr>
          <w:p>
            <w:pPr>
              <w:widowControl/>
              <w:spacing w:line="360" w:lineRule="exact"/>
              <w:ind w:left="-170" w:leftChars="-53" w:right="-170" w:rightChars="-53"/>
              <w:jc w:val="center"/>
              <w:rPr>
                <w:color w:val="000000"/>
                <w:kern w:val="0"/>
                <w:sz w:val="24"/>
              </w:rPr>
            </w:pPr>
            <w:r>
              <w:rPr>
                <w:color w:val="000000"/>
                <w:kern w:val="0"/>
                <w:sz w:val="24"/>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025" w:type="dxa"/>
            <w:gridSpan w:val="2"/>
            <w:noWrap w:val="0"/>
            <w:vAlign w:val="center"/>
          </w:tcPr>
          <w:p>
            <w:pPr>
              <w:widowControl/>
              <w:spacing w:line="360" w:lineRule="exact"/>
              <w:jc w:val="center"/>
              <w:rPr>
                <w:bCs/>
                <w:color w:val="000000"/>
                <w:kern w:val="0"/>
                <w:sz w:val="24"/>
              </w:rPr>
            </w:pPr>
            <w:r>
              <w:rPr>
                <w:bCs/>
                <w:color w:val="000000"/>
                <w:kern w:val="0"/>
                <w:sz w:val="24"/>
              </w:rPr>
              <w:t>总        分</w:t>
            </w:r>
          </w:p>
        </w:tc>
        <w:tc>
          <w:tcPr>
            <w:tcW w:w="2297" w:type="dxa"/>
            <w:gridSpan w:val="2"/>
            <w:noWrap w:val="0"/>
            <w:vAlign w:val="center"/>
          </w:tcPr>
          <w:p>
            <w:pPr>
              <w:widowControl/>
              <w:spacing w:line="360" w:lineRule="exact"/>
              <w:jc w:val="center"/>
              <w:rPr>
                <w:bCs/>
                <w:color w:val="000000"/>
                <w:kern w:val="0"/>
                <w:sz w:val="24"/>
              </w:rPr>
            </w:pPr>
            <w:r>
              <w:rPr>
                <w:bCs/>
                <w:color w:val="000000"/>
                <w:kern w:val="0"/>
                <w:sz w:val="24"/>
              </w:rPr>
              <w:t>100</w:t>
            </w:r>
          </w:p>
        </w:tc>
        <w:tc>
          <w:tcPr>
            <w:tcW w:w="1419" w:type="dxa"/>
            <w:noWrap w:val="0"/>
            <w:vAlign w:val="center"/>
          </w:tcPr>
          <w:p>
            <w:pPr>
              <w:widowControl/>
              <w:spacing w:line="360" w:lineRule="exact"/>
              <w:jc w:val="center"/>
              <w:rPr>
                <w:color w:val="000000"/>
                <w:kern w:val="0"/>
                <w:sz w:val="24"/>
              </w:rPr>
            </w:pPr>
          </w:p>
        </w:tc>
      </w:tr>
    </w:tbl>
    <w:p>
      <w:pPr>
        <w:pStyle w:val="2"/>
        <w:ind w:firstLine="0" w:firstLineChars="0"/>
        <w:rPr>
          <w:rFonts w:ascii="Times New Roman" w:hAnsi="Times New Roman" w:eastAsia="楷体"/>
          <w:bCs/>
          <w:color w:val="000000"/>
          <w:sz w:val="30"/>
          <w:szCs w:val="30"/>
        </w:rPr>
      </w:pPr>
    </w:p>
    <w:p>
      <w:pPr>
        <w:pStyle w:val="2"/>
        <w:ind w:firstLine="0" w:firstLineChars="0"/>
        <w:rPr>
          <w:rFonts w:ascii="Times New Roman" w:hAnsi="Times New Roman" w:eastAsia="楷体"/>
          <w:bCs/>
          <w:color w:val="000000"/>
          <w:sz w:val="30"/>
          <w:szCs w:val="30"/>
        </w:rPr>
      </w:pPr>
      <w:r>
        <w:rPr>
          <w:rFonts w:ascii="Times New Roman" w:hAnsi="Times New Roman" w:eastAsia="楷体"/>
          <w:bCs/>
          <w:color w:val="000000"/>
          <w:sz w:val="30"/>
          <w:szCs w:val="30"/>
        </w:rPr>
        <w:t>指标解释：</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1.主题定位：与国家和区域发展战略及区域经济社会发展的契合情况。</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2.功能布局：核心区功能结构布局情况。</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3.主导产业：主导产业选择的科学性、产业链条的完整性、产业整体规模等情况。</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4.主导产业产值：上年度省级农高区内主导产业总产值。</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5.省级及以上农业产业化龙头企业数量：省级农高区内现有的国家级和省级农业产业化龙头企业总数。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6.高新技术产业产值占比：上年度省级农高区内涉农高新技术企业总产值占省级农高区内涉农产业总产值比例。</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7.规上企业研发投入占比：上年度省级农高区内涉农规上企业研发投入占当年总产值比例。</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8.高新技术企业数量：省级农高区内现有涉农高新技术企业总数。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9.省级及以上创新平台数量：省级农高区内现有涉农省级及以上各类研发机构总数。包括：国家和省级重点实验室、技术创新中心、工程技术研究中心、工程实验室、工程研究中心、院士工作站、博士后科研工作站、新型研发机构等。</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10.科技创新团队数量：省级农高区内现有涉农企业及相关研发机构中以具有省级及以上人才称号的高层次科技创新人才为核心，以农业技术研究与开发为工作内容，研发贡献大、团队效应突出、引领作用显著的创新团队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11.与高校院所产学研合作数量：省级农高区现有涉农企业或研发机构与高校院所等科研机构签署产学研合作协议并开展合作的数量。</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12.管理机构：省级农高区创建工作领导小组、管委会（筹）等管理机构设置情况。</w:t>
      </w:r>
    </w:p>
    <w:p>
      <w:pPr>
        <w:pStyle w:val="5"/>
        <w:ind w:firstLine="592"/>
        <w:contextualSpacing/>
        <w:rPr>
          <w:rFonts w:ascii="Times New Roman" w:hAnsi="Times New Roman" w:eastAsia="仿宋_GB2312"/>
          <w:color w:val="000000"/>
          <w:sz w:val="30"/>
          <w:szCs w:val="30"/>
        </w:rPr>
      </w:pPr>
      <w:r>
        <w:rPr>
          <w:rFonts w:ascii="Times New Roman" w:hAnsi="Times New Roman" w:eastAsia="仿宋_GB2312"/>
          <w:color w:val="000000"/>
          <w:sz w:val="30"/>
          <w:szCs w:val="30"/>
        </w:rPr>
        <w:t>13.各类转移转化、创业孵化、科技金融、人才服务平台数量：省级农高区内现有各类转移转化（概念验证中心、产权交易中心、成果转化中心等）、孵化机构（孵化器、大学科技园、加速器等）、金融服务机构（创业风险投资机构、银行、保险代理机构、证券机构、担保公司、小额贷款公司、科技融资租赁公司、科技金融服务机构等）、人才服务机构（从事人才就业、使用、发展、管理、交流和培训的综合性服务机构）总数。</w:t>
      </w:r>
    </w:p>
    <w:p>
      <w:pPr>
        <w:jc w:val="left"/>
        <w:rPr>
          <w:rFonts w:eastAsia="黑体"/>
          <w:color w:val="000000"/>
        </w:rPr>
      </w:pPr>
    </w:p>
    <w:p>
      <w:pPr>
        <w:tabs>
          <w:tab w:val="left" w:pos="1694"/>
        </w:tabs>
        <w:jc w:val="left"/>
        <w:rPr>
          <w:rFonts w:eastAsia="黑体"/>
          <w:bCs/>
          <w:color w:val="000000"/>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283A53E4"/>
    <w:rsid w:val="283A53E4"/>
    <w:rsid w:val="4A78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adjustRightInd w:val="0"/>
      <w:snapToGrid w:val="0"/>
      <w:spacing w:line="360" w:lineRule="auto"/>
      <w:ind w:firstLine="690" w:firstLineChars="200"/>
    </w:pPr>
    <w:rPr>
      <w:rFonts w:ascii="Calibri" w:hAnsi="Calibri" w:eastAsia="仿宋_GB2312"/>
      <w:sz w:val="32"/>
      <w:szCs w:val="32"/>
    </w:rPr>
  </w:style>
  <w:style w:type="paragraph" w:styleId="5">
    <w:name w:val="List Paragraph"/>
    <w:basedOn w:val="1"/>
    <w:qFormat/>
    <w:uiPriority w:val="1"/>
    <w:pPr>
      <w:ind w:firstLine="420" w:firstLineChars="200"/>
    </w:pPr>
    <w:rPr>
      <w:rFonts w:ascii="等线" w:hAnsi="等线" w:eastAsia="等线"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2024-08-21T03:19:00Z</dcterms:created>
  <dc:creator>'Always</dc:creator>
  <cp:lastModifiedBy>'Always</cp:lastModifiedBy>
  <dcterms:modified xsi:type="dcterms:W3CDTF">2024-08-21T03:23:44Z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1DD01D6546FB444FBD7D64AD512B8F45_11</vt:lpwstr>
  </property>
</Properties>
</file>