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  <w:t>附录4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  <w:t>科技成果分类评价工作流程</w:t>
      </w:r>
      <w:bookmarkEnd w:id="0"/>
    </w:p>
    <w:p>
      <w:pPr>
        <w:jc w:val="center"/>
      </w:pPr>
      <w:r>
        <w:rPr>
          <w:rFonts w:eastAsia="黑体"/>
          <w:sz w:val="32"/>
          <w:szCs w:val="32"/>
          <w:highlight w:val="none"/>
        </w:rPr>
        <w:drawing>
          <wp:inline distT="0" distB="0" distL="114300" distR="114300">
            <wp:extent cx="3525520" cy="6938010"/>
            <wp:effectExtent l="0" t="0" r="5080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25520" cy="693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5BFC0E8C"/>
    <w:rsid w:val="5BFC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 w:eastAsia="宋体" w:cs="Times New Roman"/>
      <w:szCs w:val="24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2022-12-23T01:39:00Z</dcterms:created>
  <dc:creator>86185</dc:creator>
  <cp:lastModifiedBy>86185</cp:lastModifiedBy>
  <dcterms:modified xsi:type="dcterms:W3CDTF">2022-12-23T01:41:35Z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BC6ABE67360341ACA2CCD70AECCA5471</vt:lpwstr>
  </property>
</Properties>
</file>