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年度第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十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批山东省院士工作站</w:t>
      </w:r>
    </w:p>
    <w:p>
      <w:pPr>
        <w:spacing w:line="5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2" w:name="_GoBack"/>
      <w:r>
        <w:rPr>
          <w:rFonts w:hint="default" w:ascii="Times New Roman" w:hAnsi="Times New Roman" w:eastAsia="方正小标宋简体" w:cs="Times New Roman"/>
          <w:sz w:val="44"/>
          <w:szCs w:val="44"/>
        </w:rPr>
        <w:t>拟备案名单（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1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家）</w:t>
      </w:r>
    </w:p>
    <w:bookmarkEnd w:id="2"/>
    <w:p>
      <w:pPr>
        <w:spacing w:line="540" w:lineRule="exact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tbl>
      <w:tblPr>
        <w:tblStyle w:val="2"/>
        <w:tblW w:w="7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7"/>
        <w:gridCol w:w="5287"/>
        <w:gridCol w:w="1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528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  <w:t>申请单位名称</w:t>
            </w:r>
          </w:p>
        </w:tc>
        <w:tc>
          <w:tcPr>
            <w:tcW w:w="124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69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bookmarkStart w:id="0" w:name="OLE_LINK1" w:colFirst="0" w:colLast="4"/>
            <w:bookmarkStart w:id="1" w:name="OLE_LINK2" w:colFirst="0" w:colLast="4"/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528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山东阳谷华泰化工股份有限公司</w:t>
            </w:r>
          </w:p>
        </w:tc>
        <w:tc>
          <w:tcPr>
            <w:tcW w:w="124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聊城</w:t>
            </w:r>
          </w:p>
        </w:tc>
      </w:tr>
      <w:bookmarkEnd w:id="0"/>
      <w:bookmarkEnd w:id="1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752D48"/>
    <w:rsid w:val="5675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2024-11-18T05:38:00Z</dcterms:created>
  <dc:creator>倔强不屈的伤情</dc:creator>
  <cp:lastModifiedBy>倔强不屈的伤情</cp:lastModifiedBy>
  <dcterms:modified xsi:type="dcterms:W3CDTF">2024-11-18T05:38:55Z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</Properties>
</file>