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bookmarkEnd w:id="2"/>
    <w:p>
      <w:pPr>
        <w:spacing w:line="5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7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28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山东阳谷华泰化工股份有限公司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聊城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52D48"/>
    <w:rsid w:val="5675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2024-11-18T05:38:00Z</dcterms:created>
  <dc:creator>倔强不屈的伤情</dc:creator>
  <cp:lastModifiedBy>倔强不屈的伤情</cp:lastModifiedBy>
  <dcterms:modified xsi:type="dcterms:W3CDTF">2024-11-18T05:38:55Z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