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rPr>
        <w:t>附件</w:t>
      </w:r>
      <w:r>
        <w:rPr>
          <w:rFonts w:hint="eastAsia" w:ascii="仿宋_GB2312" w:hAnsi="仿宋_GB2312" w:eastAsia="仿宋_GB2312" w:cs="仿宋_GB2312"/>
          <w:color w:val="auto"/>
          <w:kern w:val="0"/>
          <w:sz w:val="32"/>
          <w:szCs w:val="32"/>
          <w:lang w:val="en-US" w:eastAsia="zh-CN"/>
        </w:rPr>
        <w:t>2</w:t>
      </w:r>
    </w:p>
    <w:p>
      <w:pPr>
        <w:spacing w:line="560" w:lineRule="exact"/>
        <w:rPr>
          <w:bCs/>
          <w:color w:val="auto"/>
        </w:rPr>
      </w:pPr>
      <w:r>
        <w:rPr>
          <w:color w:val="auto"/>
          <w:sz w:val="30"/>
        </w:rPr>
        <w:t xml:space="preserve">                            </w:t>
      </w:r>
    </w:p>
    <w:p>
      <w:pPr>
        <w:widowControl/>
        <w:jc w:val="center"/>
        <w:rPr>
          <w:rFonts w:ascii="黑体" w:eastAsia="黑体"/>
          <w:color w:val="auto"/>
          <w:sz w:val="36"/>
          <w:szCs w:val="36"/>
        </w:rPr>
      </w:pPr>
      <w:r>
        <w:rPr>
          <w:rFonts w:hint="eastAsia" w:ascii="方正小标宋简体" w:hAnsi="方正小标宋简体" w:eastAsia="方正小标宋简体" w:cs="方正小标宋简体"/>
          <w:color w:val="auto"/>
          <w:sz w:val="36"/>
          <w:szCs w:val="36"/>
        </w:rPr>
        <w:t>山东省技术转移先进县（市、区）评价指标体系</w:t>
      </w:r>
    </w:p>
    <w:p>
      <w:pPr>
        <w:widowControl/>
        <w:jc w:val="center"/>
        <w:rPr>
          <w:rFonts w:ascii="楷体" w:hAnsi="楷体" w:eastAsia="楷体" w:cs="楷体"/>
          <w:color w:val="auto"/>
          <w:sz w:val="32"/>
          <w:szCs w:val="32"/>
        </w:rPr>
      </w:pPr>
      <w:r>
        <w:rPr>
          <w:rFonts w:hint="eastAsia" w:ascii="楷体_GB2312" w:hAnsi="楷体_GB2312" w:eastAsia="楷体_GB2312" w:cs="楷体_GB2312"/>
          <w:color w:val="auto"/>
          <w:sz w:val="32"/>
          <w:szCs w:val="32"/>
        </w:rPr>
        <w:t>（总分200分）</w:t>
      </w:r>
    </w:p>
    <w:tbl>
      <w:tblPr>
        <w:tblStyle w:val="4"/>
        <w:tblpPr w:leftFromText="180" w:rightFromText="180" w:vertAnchor="text" w:horzAnchor="page" w:tblpX="1442" w:tblpY="448"/>
        <w:tblOverlap w:val="never"/>
        <w:tblW w:w="8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533"/>
        <w:gridCol w:w="615"/>
        <w:gridCol w:w="519"/>
        <w:gridCol w:w="5291"/>
        <w:gridCol w:w="1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trPr>
        <w:tc>
          <w:tcPr>
            <w:tcW w:w="1450" w:type="dxa"/>
            <w:gridSpan w:val="2"/>
            <w:vAlign w:val="center"/>
          </w:tcPr>
          <w:p>
            <w:pPr>
              <w:jc w:val="center"/>
              <w:rPr>
                <w:rFonts w:ascii="黑体" w:hAnsi="黑体" w:eastAsia="黑体" w:cs="黑体"/>
                <w:bCs/>
                <w:color w:val="auto"/>
                <w:sz w:val="24"/>
                <w:szCs w:val="24"/>
              </w:rPr>
            </w:pPr>
            <w:r>
              <w:rPr>
                <w:rFonts w:hint="eastAsia" w:ascii="黑体" w:hAnsi="黑体" w:eastAsia="黑体" w:cs="黑体"/>
                <w:bCs/>
                <w:color w:val="auto"/>
                <w:sz w:val="24"/>
                <w:szCs w:val="24"/>
              </w:rPr>
              <w:t>指标分类</w:t>
            </w:r>
          </w:p>
        </w:tc>
        <w:tc>
          <w:tcPr>
            <w:tcW w:w="615" w:type="dxa"/>
            <w:vAlign w:val="center"/>
          </w:tcPr>
          <w:p>
            <w:pPr>
              <w:jc w:val="center"/>
              <w:rPr>
                <w:rFonts w:ascii="黑体" w:hAnsi="黑体" w:eastAsia="黑体" w:cs="黑体"/>
                <w:bCs/>
                <w:color w:val="auto"/>
                <w:sz w:val="24"/>
                <w:szCs w:val="24"/>
              </w:rPr>
            </w:pPr>
            <w:r>
              <w:rPr>
                <w:rFonts w:hint="eastAsia" w:ascii="黑体" w:hAnsi="黑体" w:eastAsia="黑体" w:cs="黑体"/>
                <w:bCs/>
                <w:color w:val="auto"/>
                <w:sz w:val="24"/>
                <w:szCs w:val="24"/>
              </w:rPr>
              <w:t>权</w:t>
            </w:r>
            <w:r>
              <w:rPr>
                <w:rFonts w:ascii="黑体" w:hAnsi="黑体" w:eastAsia="黑体" w:cs="黑体"/>
                <w:bCs/>
                <w:color w:val="auto"/>
                <w:sz w:val="24"/>
                <w:szCs w:val="24"/>
              </w:rPr>
              <w:t xml:space="preserve"> </w:t>
            </w:r>
            <w:r>
              <w:rPr>
                <w:rFonts w:hint="eastAsia" w:ascii="黑体" w:hAnsi="黑体" w:eastAsia="黑体" w:cs="黑体"/>
                <w:bCs/>
                <w:color w:val="auto"/>
                <w:sz w:val="24"/>
                <w:szCs w:val="24"/>
              </w:rPr>
              <w:t>重</w:t>
            </w:r>
          </w:p>
        </w:tc>
        <w:tc>
          <w:tcPr>
            <w:tcW w:w="519" w:type="dxa"/>
            <w:vAlign w:val="center"/>
          </w:tcPr>
          <w:p>
            <w:pPr>
              <w:jc w:val="center"/>
              <w:rPr>
                <w:rFonts w:ascii="黑体" w:hAnsi="黑体" w:eastAsia="黑体" w:cs="黑体"/>
                <w:bCs/>
                <w:color w:val="auto"/>
                <w:sz w:val="24"/>
                <w:szCs w:val="24"/>
              </w:rPr>
            </w:pPr>
            <w:r>
              <w:rPr>
                <w:rFonts w:hint="eastAsia" w:ascii="黑体" w:hAnsi="黑体" w:eastAsia="黑体" w:cs="黑体"/>
                <w:bCs/>
                <w:color w:val="auto"/>
                <w:sz w:val="24"/>
                <w:szCs w:val="24"/>
              </w:rPr>
              <w:t>代码</w:t>
            </w:r>
          </w:p>
        </w:tc>
        <w:tc>
          <w:tcPr>
            <w:tcW w:w="5291" w:type="dxa"/>
            <w:vAlign w:val="center"/>
          </w:tcPr>
          <w:p>
            <w:pPr>
              <w:jc w:val="center"/>
              <w:rPr>
                <w:rFonts w:ascii="黑体" w:hAnsi="黑体" w:eastAsia="黑体" w:cs="黑体"/>
                <w:bCs/>
                <w:color w:val="auto"/>
                <w:sz w:val="24"/>
                <w:szCs w:val="24"/>
              </w:rPr>
            </w:pPr>
            <w:r>
              <w:rPr>
                <w:rFonts w:hint="eastAsia" w:ascii="黑体" w:hAnsi="黑体" w:eastAsia="黑体" w:cs="黑体"/>
                <w:bCs/>
                <w:color w:val="auto"/>
                <w:sz w:val="24"/>
                <w:szCs w:val="24"/>
              </w:rPr>
              <w:t>评价指标</w:t>
            </w:r>
          </w:p>
        </w:tc>
        <w:tc>
          <w:tcPr>
            <w:tcW w:w="1088" w:type="dxa"/>
            <w:vAlign w:val="center"/>
          </w:tcPr>
          <w:p>
            <w:pPr>
              <w:jc w:val="center"/>
              <w:rPr>
                <w:rFonts w:ascii="黑体" w:hAnsi="黑体" w:eastAsia="黑体" w:cs="黑体"/>
                <w:bCs/>
                <w:color w:val="auto"/>
                <w:sz w:val="24"/>
                <w:szCs w:val="24"/>
              </w:rPr>
            </w:pPr>
            <w:r>
              <w:rPr>
                <w:rFonts w:hint="eastAsia" w:ascii="黑体" w:hAnsi="黑体" w:eastAsia="黑体" w:cs="黑体"/>
                <w:bCs/>
                <w:color w:val="auto"/>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917" w:type="dxa"/>
            <w:vMerge w:val="restart"/>
            <w:vAlign w:val="center"/>
          </w:tcPr>
          <w:p>
            <w:pPr>
              <w:jc w:val="center"/>
              <w:rPr>
                <w:rFonts w:ascii="黑体" w:hAnsi="黑体" w:eastAsia="黑体" w:cs="黑体"/>
                <w:bCs/>
                <w:color w:val="auto"/>
                <w:sz w:val="24"/>
                <w:szCs w:val="24"/>
              </w:rPr>
            </w:pPr>
            <w:r>
              <w:rPr>
                <w:rFonts w:hint="eastAsia" w:ascii="黑体" w:hAnsi="黑体" w:eastAsia="黑体" w:cs="黑体"/>
                <w:bCs/>
                <w:color w:val="auto"/>
                <w:sz w:val="24"/>
                <w:szCs w:val="24"/>
              </w:rPr>
              <w:t>定</w:t>
            </w:r>
          </w:p>
          <w:p>
            <w:pPr>
              <w:jc w:val="center"/>
              <w:rPr>
                <w:rFonts w:ascii="黑体" w:hAnsi="黑体" w:eastAsia="黑体" w:cs="黑体"/>
                <w:bCs/>
                <w:color w:val="auto"/>
                <w:sz w:val="24"/>
                <w:szCs w:val="24"/>
              </w:rPr>
            </w:pPr>
            <w:r>
              <w:rPr>
                <w:rFonts w:hint="eastAsia" w:ascii="黑体" w:hAnsi="黑体" w:eastAsia="黑体" w:cs="黑体"/>
                <w:bCs/>
                <w:color w:val="auto"/>
                <w:sz w:val="24"/>
                <w:szCs w:val="24"/>
              </w:rPr>
              <w:t>量</w:t>
            </w:r>
          </w:p>
          <w:p>
            <w:pPr>
              <w:jc w:val="center"/>
              <w:rPr>
                <w:rFonts w:ascii="黑体" w:hAnsi="黑体" w:eastAsia="黑体" w:cs="黑体"/>
                <w:bCs/>
                <w:color w:val="auto"/>
                <w:sz w:val="24"/>
                <w:szCs w:val="24"/>
              </w:rPr>
            </w:pPr>
            <w:r>
              <w:rPr>
                <w:rFonts w:hint="eastAsia" w:ascii="黑体" w:hAnsi="黑体" w:eastAsia="黑体" w:cs="黑体"/>
                <w:bCs/>
                <w:color w:val="auto"/>
                <w:sz w:val="24"/>
                <w:szCs w:val="24"/>
              </w:rPr>
              <w:t>指</w:t>
            </w:r>
          </w:p>
          <w:p>
            <w:pPr>
              <w:jc w:val="center"/>
              <w:rPr>
                <w:rFonts w:ascii="黑体" w:hAnsi="黑体" w:eastAsia="黑体" w:cs="黑体"/>
                <w:bCs/>
                <w:color w:val="auto"/>
                <w:sz w:val="24"/>
                <w:szCs w:val="24"/>
              </w:rPr>
            </w:pPr>
            <w:r>
              <w:rPr>
                <w:rFonts w:hint="eastAsia" w:ascii="黑体" w:hAnsi="黑体" w:eastAsia="黑体" w:cs="黑体"/>
                <w:bCs/>
                <w:color w:val="auto"/>
                <w:sz w:val="24"/>
                <w:szCs w:val="24"/>
              </w:rPr>
              <w:t>标</w:t>
            </w:r>
          </w:p>
        </w:tc>
        <w:tc>
          <w:tcPr>
            <w:tcW w:w="533" w:type="dxa"/>
            <w:vMerge w:val="restart"/>
            <w:vAlign w:val="center"/>
          </w:tcPr>
          <w:p>
            <w:pPr>
              <w:jc w:val="center"/>
              <w:rPr>
                <w:rFonts w:ascii="仿宋_GB2312" w:hAnsi="仿宋_GB2312" w:eastAsia="仿宋_GB2312" w:cs="仿宋_GB2312"/>
                <w:color w:val="auto"/>
                <w:sz w:val="24"/>
                <w:szCs w:val="24"/>
              </w:rPr>
            </w:pPr>
            <w:r>
              <w:rPr>
                <w:rFonts w:hint="eastAsia" w:ascii="黑体" w:hAnsi="黑体" w:eastAsia="黑体" w:cs="黑体"/>
                <w:bCs/>
                <w:color w:val="auto"/>
                <w:kern w:val="0"/>
                <w:sz w:val="24"/>
                <w:szCs w:val="24"/>
              </w:rPr>
              <w:t>技术交易额</w:t>
            </w:r>
          </w:p>
        </w:tc>
        <w:tc>
          <w:tcPr>
            <w:tcW w:w="615" w:type="dxa"/>
            <w:vMerge w:val="restart"/>
            <w:vAlign w:val="center"/>
          </w:tcPr>
          <w:p>
            <w:pPr>
              <w:jc w:val="center"/>
              <w:rPr>
                <w:rFonts w:ascii="仿宋" w:hAnsi="仿宋" w:eastAsia="仿宋" w:cs="仿宋"/>
                <w:color w:val="auto"/>
                <w:sz w:val="22"/>
                <w:szCs w:val="22"/>
              </w:rPr>
            </w:pPr>
            <w:r>
              <w:rPr>
                <w:rFonts w:ascii="仿宋" w:hAnsi="仿宋" w:eastAsia="仿宋" w:cs="仿宋"/>
                <w:color w:val="auto"/>
                <w:sz w:val="22"/>
                <w:szCs w:val="22"/>
              </w:rPr>
              <w:t>40%</w:t>
            </w:r>
          </w:p>
        </w:tc>
        <w:tc>
          <w:tcPr>
            <w:tcW w:w="519" w:type="dxa"/>
            <w:vAlign w:val="center"/>
          </w:tcPr>
          <w:p>
            <w:pPr>
              <w:adjustRightInd w:val="0"/>
              <w:snapToGrid w:val="0"/>
              <w:spacing w:line="340" w:lineRule="exact"/>
              <w:jc w:val="center"/>
              <w:rPr>
                <w:rFonts w:ascii="仿宋" w:hAnsi="仿宋" w:eastAsia="仿宋" w:cs="仿宋"/>
                <w:color w:val="auto"/>
                <w:sz w:val="22"/>
                <w:szCs w:val="22"/>
              </w:rPr>
            </w:pPr>
            <w:r>
              <w:rPr>
                <w:rFonts w:ascii="仿宋" w:hAnsi="仿宋" w:eastAsia="仿宋" w:cs="仿宋"/>
                <w:color w:val="auto"/>
                <w:sz w:val="22"/>
                <w:szCs w:val="22"/>
              </w:rPr>
              <w:t>01</w:t>
            </w:r>
          </w:p>
        </w:tc>
        <w:tc>
          <w:tcPr>
            <w:tcW w:w="5291" w:type="dxa"/>
            <w:vAlign w:val="center"/>
          </w:tcPr>
          <w:p>
            <w:pPr>
              <w:rPr>
                <w:rFonts w:ascii="仿宋" w:hAnsi="仿宋" w:eastAsia="仿宋" w:cs="仿宋"/>
                <w:color w:val="auto"/>
                <w:sz w:val="22"/>
                <w:szCs w:val="22"/>
              </w:rPr>
            </w:pPr>
            <w:r>
              <w:rPr>
                <w:rFonts w:hint="eastAsia" w:ascii="仿宋" w:hAnsi="仿宋" w:eastAsia="仿宋" w:cs="仿宋"/>
                <w:color w:val="auto"/>
                <w:sz w:val="22"/>
                <w:szCs w:val="22"/>
              </w:rPr>
              <w:t>技术合同输出金额（亿元）</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917" w:type="dxa"/>
            <w:vMerge w:val="continue"/>
            <w:vAlign w:val="center"/>
          </w:tcPr>
          <w:p>
            <w:pPr>
              <w:jc w:val="center"/>
              <w:rPr>
                <w:rFonts w:ascii="黑体" w:hAnsi="黑体" w:eastAsia="黑体" w:cs="黑体"/>
                <w:bCs/>
                <w:color w:val="auto"/>
                <w:sz w:val="24"/>
                <w:szCs w:val="24"/>
              </w:rPr>
            </w:pPr>
          </w:p>
        </w:tc>
        <w:tc>
          <w:tcPr>
            <w:tcW w:w="533" w:type="dxa"/>
            <w:vMerge w:val="continue"/>
            <w:vAlign w:val="center"/>
          </w:tcPr>
          <w:p>
            <w:pPr>
              <w:jc w:val="center"/>
              <w:rPr>
                <w:rFonts w:ascii="黑体" w:hAnsi="黑体" w:eastAsia="黑体" w:cs="黑体"/>
                <w:bCs/>
                <w:color w:val="auto"/>
                <w:kern w:val="0"/>
                <w:sz w:val="24"/>
                <w:szCs w:val="24"/>
              </w:rPr>
            </w:pPr>
          </w:p>
        </w:tc>
        <w:tc>
          <w:tcPr>
            <w:tcW w:w="615" w:type="dxa"/>
            <w:vMerge w:val="continue"/>
            <w:vAlign w:val="center"/>
          </w:tcPr>
          <w:p>
            <w:pPr>
              <w:jc w:val="center"/>
              <w:rPr>
                <w:rFonts w:ascii="仿宋" w:hAnsi="仿宋" w:eastAsia="仿宋" w:cs="仿宋"/>
                <w:color w:val="auto"/>
                <w:sz w:val="22"/>
                <w:szCs w:val="22"/>
              </w:rPr>
            </w:pPr>
          </w:p>
        </w:tc>
        <w:tc>
          <w:tcPr>
            <w:tcW w:w="519" w:type="dxa"/>
            <w:vAlign w:val="center"/>
          </w:tcPr>
          <w:p>
            <w:pPr>
              <w:adjustRightInd w:val="0"/>
              <w:snapToGrid w:val="0"/>
              <w:spacing w:line="340" w:lineRule="exact"/>
              <w:jc w:val="center"/>
              <w:rPr>
                <w:rFonts w:ascii="仿宋" w:hAnsi="仿宋" w:eastAsia="仿宋" w:cs="仿宋"/>
                <w:color w:val="auto"/>
                <w:sz w:val="22"/>
                <w:szCs w:val="22"/>
              </w:rPr>
            </w:pPr>
            <w:r>
              <w:rPr>
                <w:rFonts w:ascii="仿宋" w:hAnsi="仿宋" w:eastAsia="仿宋" w:cs="仿宋"/>
                <w:color w:val="auto"/>
                <w:sz w:val="22"/>
                <w:szCs w:val="22"/>
              </w:rPr>
              <w:t>02</w:t>
            </w:r>
          </w:p>
        </w:tc>
        <w:tc>
          <w:tcPr>
            <w:tcW w:w="5291" w:type="dxa"/>
            <w:vAlign w:val="center"/>
          </w:tcPr>
          <w:p>
            <w:pPr>
              <w:rPr>
                <w:rFonts w:ascii="仿宋" w:hAnsi="仿宋" w:eastAsia="仿宋" w:cs="仿宋"/>
                <w:color w:val="auto"/>
                <w:sz w:val="22"/>
                <w:szCs w:val="22"/>
              </w:rPr>
            </w:pPr>
            <w:r>
              <w:rPr>
                <w:rFonts w:hint="eastAsia" w:ascii="仿宋" w:hAnsi="仿宋" w:eastAsia="仿宋" w:cs="仿宋"/>
                <w:color w:val="auto"/>
                <w:sz w:val="22"/>
                <w:szCs w:val="22"/>
              </w:rPr>
              <w:t>技术合同输出金额同比增长率</w:t>
            </w:r>
            <w:r>
              <w:rPr>
                <w:rFonts w:ascii="仿宋" w:hAnsi="仿宋" w:eastAsia="仿宋" w:cs="仿宋"/>
                <w:color w:val="auto"/>
                <w:sz w:val="22"/>
                <w:szCs w:val="22"/>
              </w:rPr>
              <w:t>(%)</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trPr>
        <w:tc>
          <w:tcPr>
            <w:tcW w:w="917" w:type="dxa"/>
            <w:vMerge w:val="continue"/>
            <w:vAlign w:val="center"/>
          </w:tcPr>
          <w:p>
            <w:pPr>
              <w:widowControl/>
              <w:jc w:val="left"/>
              <w:rPr>
                <w:rFonts w:ascii="黑体" w:hAnsi="黑体" w:eastAsia="黑体" w:cs="黑体"/>
                <w:bCs/>
                <w:color w:val="auto"/>
                <w:sz w:val="24"/>
                <w:szCs w:val="24"/>
              </w:rPr>
            </w:pPr>
          </w:p>
        </w:tc>
        <w:tc>
          <w:tcPr>
            <w:tcW w:w="533" w:type="dxa"/>
            <w:vMerge w:val="continue"/>
            <w:vAlign w:val="center"/>
          </w:tcPr>
          <w:p>
            <w:pPr>
              <w:widowControl/>
              <w:jc w:val="left"/>
              <w:rPr>
                <w:rFonts w:ascii="仿宋_GB2312" w:hAnsi="仿宋_GB2312" w:eastAsia="仿宋_GB2312" w:cs="仿宋_GB2312"/>
                <w:color w:val="auto"/>
                <w:sz w:val="24"/>
                <w:szCs w:val="24"/>
              </w:rPr>
            </w:pPr>
          </w:p>
        </w:tc>
        <w:tc>
          <w:tcPr>
            <w:tcW w:w="615" w:type="dxa"/>
            <w:vMerge w:val="continue"/>
            <w:vAlign w:val="center"/>
          </w:tcPr>
          <w:p>
            <w:pPr>
              <w:widowControl/>
              <w:jc w:val="left"/>
              <w:rPr>
                <w:rFonts w:ascii="仿宋" w:hAnsi="仿宋" w:eastAsia="仿宋" w:cs="仿宋"/>
                <w:color w:val="auto"/>
                <w:sz w:val="22"/>
                <w:szCs w:val="22"/>
              </w:rPr>
            </w:pPr>
          </w:p>
        </w:tc>
        <w:tc>
          <w:tcPr>
            <w:tcW w:w="519" w:type="dxa"/>
            <w:vAlign w:val="center"/>
          </w:tcPr>
          <w:p>
            <w:pPr>
              <w:adjustRightInd w:val="0"/>
              <w:snapToGrid w:val="0"/>
              <w:spacing w:line="340" w:lineRule="exact"/>
              <w:jc w:val="center"/>
              <w:rPr>
                <w:rFonts w:ascii="仿宋" w:hAnsi="仿宋" w:eastAsia="仿宋" w:cs="仿宋"/>
                <w:color w:val="auto"/>
                <w:sz w:val="22"/>
                <w:szCs w:val="22"/>
              </w:rPr>
            </w:pPr>
            <w:r>
              <w:rPr>
                <w:rFonts w:ascii="仿宋" w:hAnsi="仿宋" w:eastAsia="仿宋" w:cs="仿宋"/>
                <w:color w:val="auto"/>
                <w:sz w:val="22"/>
                <w:szCs w:val="22"/>
              </w:rPr>
              <w:t>03</w:t>
            </w:r>
          </w:p>
        </w:tc>
        <w:tc>
          <w:tcPr>
            <w:tcW w:w="5291" w:type="dxa"/>
            <w:vAlign w:val="center"/>
          </w:tcPr>
          <w:p>
            <w:pPr>
              <w:rPr>
                <w:rFonts w:ascii="仿宋" w:hAnsi="仿宋" w:eastAsia="仿宋" w:cs="仿宋"/>
                <w:color w:val="auto"/>
                <w:sz w:val="22"/>
                <w:szCs w:val="22"/>
              </w:rPr>
            </w:pPr>
            <w:r>
              <w:rPr>
                <w:rFonts w:hint="eastAsia" w:ascii="仿宋" w:hAnsi="仿宋" w:eastAsia="仿宋" w:cs="仿宋"/>
                <w:color w:val="auto"/>
                <w:sz w:val="22"/>
                <w:szCs w:val="22"/>
              </w:rPr>
              <w:t>技术合同输出金额占</w:t>
            </w:r>
            <w:r>
              <w:rPr>
                <w:rFonts w:ascii="仿宋" w:hAnsi="仿宋" w:eastAsia="仿宋" w:cs="仿宋"/>
                <w:color w:val="auto"/>
                <w:sz w:val="22"/>
                <w:szCs w:val="22"/>
              </w:rPr>
              <w:t>GDP</w:t>
            </w:r>
            <w:r>
              <w:rPr>
                <w:rFonts w:hint="eastAsia" w:ascii="仿宋" w:hAnsi="仿宋" w:eastAsia="仿宋" w:cs="仿宋"/>
                <w:color w:val="auto"/>
                <w:sz w:val="22"/>
                <w:szCs w:val="22"/>
              </w:rPr>
              <w:t>比重（</w:t>
            </w:r>
            <w:r>
              <w:rPr>
                <w:rFonts w:ascii="仿宋" w:hAnsi="仿宋" w:eastAsia="仿宋" w:cs="仿宋"/>
                <w:color w:val="auto"/>
                <w:sz w:val="22"/>
                <w:szCs w:val="22"/>
              </w:rPr>
              <w:t>%</w:t>
            </w:r>
            <w:r>
              <w:rPr>
                <w:rFonts w:hint="eastAsia" w:ascii="仿宋" w:hAnsi="仿宋" w:eastAsia="仿宋" w:cs="仿宋"/>
                <w:color w:val="auto"/>
                <w:sz w:val="22"/>
                <w:szCs w:val="22"/>
              </w:rPr>
              <w:t>）</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trPr>
        <w:tc>
          <w:tcPr>
            <w:tcW w:w="917" w:type="dxa"/>
            <w:vMerge w:val="continue"/>
            <w:vAlign w:val="center"/>
          </w:tcPr>
          <w:p>
            <w:pPr>
              <w:widowControl/>
              <w:jc w:val="left"/>
              <w:rPr>
                <w:rFonts w:ascii="黑体" w:hAnsi="黑体" w:eastAsia="黑体" w:cs="黑体"/>
                <w:bCs/>
                <w:color w:val="auto"/>
                <w:sz w:val="24"/>
                <w:szCs w:val="24"/>
              </w:rPr>
            </w:pPr>
          </w:p>
        </w:tc>
        <w:tc>
          <w:tcPr>
            <w:tcW w:w="533" w:type="dxa"/>
            <w:vMerge w:val="continue"/>
            <w:vAlign w:val="center"/>
          </w:tcPr>
          <w:p>
            <w:pPr>
              <w:widowControl/>
              <w:jc w:val="left"/>
              <w:rPr>
                <w:rFonts w:ascii="仿宋_GB2312" w:hAnsi="仿宋_GB2312" w:eastAsia="仿宋_GB2312" w:cs="仿宋_GB2312"/>
                <w:color w:val="auto"/>
                <w:sz w:val="24"/>
                <w:szCs w:val="24"/>
              </w:rPr>
            </w:pPr>
          </w:p>
        </w:tc>
        <w:tc>
          <w:tcPr>
            <w:tcW w:w="615" w:type="dxa"/>
            <w:vMerge w:val="continue"/>
            <w:vAlign w:val="center"/>
          </w:tcPr>
          <w:p>
            <w:pPr>
              <w:widowControl/>
              <w:jc w:val="left"/>
              <w:rPr>
                <w:rFonts w:ascii="仿宋" w:hAnsi="仿宋" w:eastAsia="仿宋" w:cs="仿宋"/>
                <w:color w:val="auto"/>
                <w:sz w:val="22"/>
                <w:szCs w:val="22"/>
              </w:rPr>
            </w:pPr>
          </w:p>
        </w:tc>
        <w:tc>
          <w:tcPr>
            <w:tcW w:w="519" w:type="dxa"/>
            <w:vAlign w:val="center"/>
          </w:tcPr>
          <w:p>
            <w:pPr>
              <w:adjustRightInd w:val="0"/>
              <w:snapToGrid w:val="0"/>
              <w:spacing w:line="340" w:lineRule="exact"/>
              <w:jc w:val="center"/>
              <w:rPr>
                <w:rFonts w:ascii="仿宋" w:hAnsi="仿宋" w:eastAsia="仿宋" w:cs="仿宋"/>
                <w:color w:val="auto"/>
                <w:sz w:val="22"/>
                <w:szCs w:val="22"/>
              </w:rPr>
            </w:pPr>
            <w:r>
              <w:rPr>
                <w:rFonts w:ascii="仿宋" w:hAnsi="仿宋" w:eastAsia="仿宋" w:cs="仿宋"/>
                <w:color w:val="auto"/>
                <w:sz w:val="22"/>
                <w:szCs w:val="22"/>
              </w:rPr>
              <w:t>04</w:t>
            </w:r>
          </w:p>
        </w:tc>
        <w:tc>
          <w:tcPr>
            <w:tcW w:w="5291" w:type="dxa"/>
            <w:vAlign w:val="center"/>
          </w:tcPr>
          <w:p>
            <w:pPr>
              <w:rPr>
                <w:rFonts w:ascii="仿宋" w:hAnsi="仿宋" w:eastAsia="仿宋" w:cs="仿宋"/>
                <w:color w:val="auto"/>
                <w:sz w:val="22"/>
                <w:szCs w:val="22"/>
              </w:rPr>
            </w:pPr>
            <w:r>
              <w:rPr>
                <w:rFonts w:hint="eastAsia" w:ascii="仿宋" w:hAnsi="仿宋" w:eastAsia="仿宋" w:cs="仿宋"/>
                <w:color w:val="auto"/>
                <w:sz w:val="22"/>
                <w:szCs w:val="22"/>
              </w:rPr>
              <w:t>技术合同吸纳金额（亿元）</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trPr>
        <w:tc>
          <w:tcPr>
            <w:tcW w:w="917" w:type="dxa"/>
            <w:vMerge w:val="continue"/>
            <w:vAlign w:val="center"/>
          </w:tcPr>
          <w:p>
            <w:pPr>
              <w:widowControl/>
              <w:jc w:val="left"/>
              <w:rPr>
                <w:rFonts w:ascii="黑体" w:hAnsi="黑体" w:eastAsia="黑体" w:cs="黑体"/>
                <w:bCs/>
                <w:color w:val="auto"/>
                <w:sz w:val="24"/>
                <w:szCs w:val="24"/>
              </w:rPr>
            </w:pPr>
          </w:p>
        </w:tc>
        <w:tc>
          <w:tcPr>
            <w:tcW w:w="533" w:type="dxa"/>
            <w:vMerge w:val="continue"/>
            <w:vAlign w:val="center"/>
          </w:tcPr>
          <w:p>
            <w:pPr>
              <w:widowControl/>
              <w:jc w:val="left"/>
              <w:rPr>
                <w:rFonts w:ascii="仿宋_GB2312" w:hAnsi="仿宋_GB2312" w:eastAsia="仿宋_GB2312" w:cs="仿宋_GB2312"/>
                <w:color w:val="auto"/>
                <w:sz w:val="24"/>
                <w:szCs w:val="24"/>
              </w:rPr>
            </w:pPr>
          </w:p>
        </w:tc>
        <w:tc>
          <w:tcPr>
            <w:tcW w:w="615" w:type="dxa"/>
            <w:vMerge w:val="continue"/>
            <w:vAlign w:val="center"/>
          </w:tcPr>
          <w:p>
            <w:pPr>
              <w:widowControl/>
              <w:jc w:val="left"/>
              <w:rPr>
                <w:rFonts w:ascii="仿宋" w:hAnsi="仿宋" w:eastAsia="仿宋" w:cs="仿宋"/>
                <w:color w:val="auto"/>
                <w:sz w:val="22"/>
                <w:szCs w:val="22"/>
              </w:rPr>
            </w:pPr>
          </w:p>
        </w:tc>
        <w:tc>
          <w:tcPr>
            <w:tcW w:w="519" w:type="dxa"/>
            <w:vAlign w:val="center"/>
          </w:tcPr>
          <w:p>
            <w:pPr>
              <w:adjustRightInd w:val="0"/>
              <w:snapToGrid w:val="0"/>
              <w:spacing w:line="340" w:lineRule="exact"/>
              <w:jc w:val="center"/>
              <w:rPr>
                <w:rFonts w:ascii="仿宋" w:hAnsi="仿宋" w:eastAsia="仿宋" w:cs="仿宋"/>
                <w:color w:val="auto"/>
                <w:sz w:val="22"/>
                <w:szCs w:val="22"/>
              </w:rPr>
            </w:pPr>
            <w:r>
              <w:rPr>
                <w:rFonts w:ascii="仿宋" w:hAnsi="仿宋" w:eastAsia="仿宋" w:cs="仿宋"/>
                <w:color w:val="auto"/>
                <w:sz w:val="22"/>
                <w:szCs w:val="22"/>
              </w:rPr>
              <w:t>05</w:t>
            </w:r>
          </w:p>
        </w:tc>
        <w:tc>
          <w:tcPr>
            <w:tcW w:w="5291" w:type="dxa"/>
            <w:vAlign w:val="center"/>
          </w:tcPr>
          <w:p>
            <w:pPr>
              <w:adjustRightInd w:val="0"/>
              <w:snapToGrid w:val="0"/>
              <w:spacing w:line="340" w:lineRule="exact"/>
              <w:rPr>
                <w:rFonts w:ascii="仿宋" w:hAnsi="仿宋" w:eastAsia="仿宋" w:cs="仿宋"/>
                <w:color w:val="auto"/>
                <w:sz w:val="22"/>
                <w:szCs w:val="22"/>
              </w:rPr>
            </w:pPr>
            <w:r>
              <w:rPr>
                <w:rFonts w:hint="eastAsia" w:ascii="仿宋" w:hAnsi="仿宋" w:eastAsia="仿宋" w:cs="仿宋"/>
                <w:color w:val="auto"/>
                <w:sz w:val="22"/>
                <w:szCs w:val="22"/>
              </w:rPr>
              <w:t>技术合同吸纳金额同比增长率（</w:t>
            </w:r>
            <w:r>
              <w:rPr>
                <w:rFonts w:ascii="仿宋" w:hAnsi="仿宋" w:eastAsia="仿宋" w:cs="仿宋"/>
                <w:color w:val="auto"/>
                <w:sz w:val="22"/>
                <w:szCs w:val="22"/>
              </w:rPr>
              <w:t>%</w:t>
            </w:r>
            <w:r>
              <w:rPr>
                <w:rFonts w:hint="eastAsia" w:ascii="仿宋" w:hAnsi="仿宋" w:eastAsia="仿宋" w:cs="仿宋"/>
                <w:color w:val="auto"/>
                <w:sz w:val="22"/>
                <w:szCs w:val="22"/>
              </w:rPr>
              <w:t>）</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trPr>
        <w:tc>
          <w:tcPr>
            <w:tcW w:w="917" w:type="dxa"/>
            <w:vMerge w:val="continue"/>
            <w:vAlign w:val="center"/>
          </w:tcPr>
          <w:p>
            <w:pPr>
              <w:widowControl/>
              <w:jc w:val="left"/>
              <w:rPr>
                <w:rFonts w:ascii="黑体" w:hAnsi="黑体" w:eastAsia="黑体" w:cs="黑体"/>
                <w:bCs/>
                <w:color w:val="auto"/>
                <w:sz w:val="24"/>
                <w:szCs w:val="24"/>
              </w:rPr>
            </w:pPr>
          </w:p>
        </w:tc>
        <w:tc>
          <w:tcPr>
            <w:tcW w:w="533" w:type="dxa"/>
            <w:vMerge w:val="continue"/>
            <w:vAlign w:val="center"/>
          </w:tcPr>
          <w:p>
            <w:pPr>
              <w:widowControl/>
              <w:jc w:val="left"/>
              <w:rPr>
                <w:rFonts w:ascii="仿宋_GB2312" w:hAnsi="仿宋_GB2312" w:eastAsia="仿宋_GB2312" w:cs="仿宋_GB2312"/>
                <w:color w:val="auto"/>
                <w:sz w:val="24"/>
                <w:szCs w:val="24"/>
              </w:rPr>
            </w:pPr>
          </w:p>
        </w:tc>
        <w:tc>
          <w:tcPr>
            <w:tcW w:w="615" w:type="dxa"/>
            <w:vMerge w:val="continue"/>
            <w:vAlign w:val="center"/>
          </w:tcPr>
          <w:p>
            <w:pPr>
              <w:widowControl/>
              <w:jc w:val="left"/>
              <w:rPr>
                <w:rFonts w:ascii="仿宋" w:hAnsi="仿宋" w:eastAsia="仿宋" w:cs="仿宋"/>
                <w:color w:val="auto"/>
                <w:sz w:val="22"/>
                <w:szCs w:val="22"/>
              </w:rPr>
            </w:pPr>
          </w:p>
        </w:tc>
        <w:tc>
          <w:tcPr>
            <w:tcW w:w="519" w:type="dxa"/>
            <w:vAlign w:val="center"/>
          </w:tcPr>
          <w:p>
            <w:pPr>
              <w:adjustRightInd w:val="0"/>
              <w:snapToGrid w:val="0"/>
              <w:spacing w:line="340" w:lineRule="exact"/>
              <w:jc w:val="center"/>
              <w:rPr>
                <w:rFonts w:ascii="仿宋" w:hAnsi="仿宋" w:eastAsia="仿宋" w:cs="仿宋"/>
                <w:color w:val="auto"/>
                <w:sz w:val="22"/>
                <w:szCs w:val="22"/>
              </w:rPr>
            </w:pPr>
            <w:r>
              <w:rPr>
                <w:rFonts w:ascii="仿宋" w:hAnsi="仿宋" w:eastAsia="仿宋" w:cs="仿宋"/>
                <w:color w:val="auto"/>
                <w:sz w:val="22"/>
                <w:szCs w:val="22"/>
              </w:rPr>
              <w:t>06</w:t>
            </w:r>
          </w:p>
        </w:tc>
        <w:tc>
          <w:tcPr>
            <w:tcW w:w="5291" w:type="dxa"/>
            <w:vAlign w:val="center"/>
          </w:tcPr>
          <w:p>
            <w:pPr>
              <w:adjustRightInd w:val="0"/>
              <w:snapToGrid w:val="0"/>
              <w:spacing w:line="340" w:lineRule="exact"/>
              <w:rPr>
                <w:rFonts w:ascii="仿宋" w:hAnsi="仿宋" w:eastAsia="仿宋" w:cs="仿宋"/>
                <w:color w:val="auto"/>
                <w:sz w:val="22"/>
                <w:szCs w:val="22"/>
              </w:rPr>
            </w:pPr>
            <w:r>
              <w:rPr>
                <w:rFonts w:hint="eastAsia" w:ascii="仿宋" w:hAnsi="仿宋" w:eastAsia="仿宋" w:cs="仿宋"/>
                <w:color w:val="auto"/>
                <w:sz w:val="22"/>
                <w:szCs w:val="22"/>
              </w:rPr>
              <w:t>技术合同吸纳金额占</w:t>
            </w:r>
            <w:r>
              <w:rPr>
                <w:rFonts w:ascii="仿宋" w:hAnsi="仿宋" w:eastAsia="仿宋" w:cs="仿宋"/>
                <w:color w:val="auto"/>
                <w:sz w:val="22"/>
                <w:szCs w:val="22"/>
              </w:rPr>
              <w:t>GDP</w:t>
            </w:r>
            <w:r>
              <w:rPr>
                <w:rFonts w:hint="eastAsia" w:ascii="仿宋" w:hAnsi="仿宋" w:eastAsia="仿宋" w:cs="仿宋"/>
                <w:color w:val="auto"/>
                <w:sz w:val="22"/>
                <w:szCs w:val="22"/>
              </w:rPr>
              <w:t>比重</w:t>
            </w:r>
            <w:r>
              <w:rPr>
                <w:rFonts w:ascii="仿宋" w:hAnsi="仿宋" w:eastAsia="仿宋" w:cs="仿宋"/>
                <w:color w:val="auto"/>
                <w:sz w:val="22"/>
                <w:szCs w:val="22"/>
              </w:rPr>
              <w:t>(%)</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917" w:type="dxa"/>
            <w:vMerge w:val="continue"/>
            <w:vAlign w:val="center"/>
          </w:tcPr>
          <w:p>
            <w:pPr>
              <w:widowControl/>
              <w:jc w:val="left"/>
              <w:rPr>
                <w:rFonts w:ascii="黑体" w:hAnsi="黑体" w:eastAsia="黑体" w:cs="黑体"/>
                <w:bCs/>
                <w:color w:val="auto"/>
                <w:sz w:val="24"/>
                <w:szCs w:val="24"/>
              </w:rPr>
            </w:pPr>
          </w:p>
        </w:tc>
        <w:tc>
          <w:tcPr>
            <w:tcW w:w="533" w:type="dxa"/>
            <w:vMerge w:val="restart"/>
            <w:vAlign w:val="center"/>
          </w:tcPr>
          <w:p>
            <w:pPr>
              <w:jc w:val="center"/>
              <w:rPr>
                <w:rFonts w:ascii="仿宋_GB2312" w:hAnsi="仿宋_GB2312" w:eastAsia="仿宋_GB2312" w:cs="仿宋_GB2312"/>
                <w:color w:val="auto"/>
                <w:sz w:val="24"/>
                <w:szCs w:val="24"/>
              </w:rPr>
            </w:pPr>
            <w:r>
              <w:rPr>
                <w:rFonts w:hint="eastAsia" w:ascii="黑体" w:hAnsi="黑体" w:eastAsia="黑体" w:cs="黑体"/>
                <w:bCs/>
                <w:color w:val="auto"/>
                <w:kern w:val="0"/>
                <w:sz w:val="24"/>
                <w:szCs w:val="24"/>
              </w:rPr>
              <w:t>技术市场管理人员</w:t>
            </w:r>
          </w:p>
        </w:tc>
        <w:tc>
          <w:tcPr>
            <w:tcW w:w="615" w:type="dxa"/>
            <w:vMerge w:val="restart"/>
            <w:vAlign w:val="center"/>
          </w:tcPr>
          <w:p>
            <w:pPr>
              <w:jc w:val="center"/>
              <w:rPr>
                <w:rFonts w:ascii="仿宋" w:hAnsi="仿宋" w:eastAsia="仿宋" w:cs="仿宋"/>
                <w:color w:val="auto"/>
                <w:sz w:val="22"/>
                <w:szCs w:val="22"/>
              </w:rPr>
            </w:pPr>
            <w:r>
              <w:rPr>
                <w:rFonts w:ascii="仿宋" w:hAnsi="仿宋" w:eastAsia="仿宋" w:cs="仿宋"/>
                <w:color w:val="auto"/>
                <w:sz w:val="22"/>
                <w:szCs w:val="22"/>
              </w:rPr>
              <w:t>8%</w:t>
            </w:r>
          </w:p>
          <w:p>
            <w:pPr>
              <w:jc w:val="center"/>
              <w:rPr>
                <w:rFonts w:ascii="仿宋" w:hAnsi="仿宋" w:eastAsia="仿宋" w:cs="仿宋"/>
                <w:color w:val="auto"/>
                <w:sz w:val="22"/>
                <w:szCs w:val="22"/>
              </w:rPr>
            </w:pPr>
          </w:p>
        </w:tc>
        <w:tc>
          <w:tcPr>
            <w:tcW w:w="519" w:type="dxa"/>
            <w:vAlign w:val="center"/>
          </w:tcPr>
          <w:p>
            <w:pPr>
              <w:adjustRightInd w:val="0"/>
              <w:snapToGrid w:val="0"/>
              <w:spacing w:line="340" w:lineRule="exact"/>
              <w:jc w:val="center"/>
              <w:rPr>
                <w:rFonts w:ascii="仿宋" w:hAnsi="仿宋" w:eastAsia="仿宋" w:cs="仿宋"/>
                <w:color w:val="auto"/>
                <w:sz w:val="22"/>
                <w:szCs w:val="22"/>
              </w:rPr>
            </w:pPr>
            <w:r>
              <w:rPr>
                <w:rFonts w:ascii="仿宋" w:hAnsi="仿宋" w:eastAsia="仿宋" w:cs="仿宋"/>
                <w:color w:val="auto"/>
                <w:sz w:val="22"/>
                <w:szCs w:val="22"/>
              </w:rPr>
              <w:t>07</w:t>
            </w:r>
          </w:p>
        </w:tc>
        <w:tc>
          <w:tcPr>
            <w:tcW w:w="5291" w:type="dxa"/>
            <w:vAlign w:val="center"/>
          </w:tcPr>
          <w:p>
            <w:pPr>
              <w:rPr>
                <w:rFonts w:ascii="仿宋" w:hAnsi="仿宋" w:eastAsia="仿宋" w:cs="仿宋"/>
                <w:color w:val="auto"/>
                <w:sz w:val="22"/>
                <w:szCs w:val="22"/>
              </w:rPr>
            </w:pPr>
            <w:r>
              <w:rPr>
                <w:rFonts w:hint="eastAsia" w:ascii="仿宋" w:hAnsi="仿宋" w:eastAsia="仿宋" w:cs="仿宋"/>
                <w:color w:val="auto"/>
                <w:sz w:val="22"/>
                <w:szCs w:val="22"/>
              </w:rPr>
              <w:t>本县（市、区）科技成果转移转化管理部门人数（人）</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0" w:hRule="atLeast"/>
        </w:trPr>
        <w:tc>
          <w:tcPr>
            <w:tcW w:w="917" w:type="dxa"/>
            <w:vMerge w:val="continue"/>
            <w:vAlign w:val="center"/>
          </w:tcPr>
          <w:p>
            <w:pPr>
              <w:widowControl/>
              <w:jc w:val="left"/>
              <w:rPr>
                <w:rFonts w:ascii="黑体" w:hAnsi="黑体" w:eastAsia="黑体" w:cs="黑体"/>
                <w:bCs/>
                <w:color w:val="auto"/>
                <w:sz w:val="24"/>
                <w:szCs w:val="24"/>
              </w:rPr>
            </w:pPr>
          </w:p>
        </w:tc>
        <w:tc>
          <w:tcPr>
            <w:tcW w:w="533" w:type="dxa"/>
            <w:vMerge w:val="continue"/>
            <w:vAlign w:val="center"/>
          </w:tcPr>
          <w:p>
            <w:pPr>
              <w:widowControl/>
              <w:jc w:val="left"/>
              <w:rPr>
                <w:rFonts w:ascii="黑体" w:hAnsi="黑体" w:eastAsia="黑体" w:cs="黑体"/>
                <w:bCs/>
                <w:color w:val="auto"/>
                <w:kern w:val="0"/>
                <w:sz w:val="24"/>
                <w:szCs w:val="24"/>
              </w:rPr>
            </w:pPr>
          </w:p>
        </w:tc>
        <w:tc>
          <w:tcPr>
            <w:tcW w:w="615" w:type="dxa"/>
            <w:vMerge w:val="continue"/>
            <w:vAlign w:val="center"/>
          </w:tcPr>
          <w:p>
            <w:pPr>
              <w:widowControl/>
              <w:jc w:val="left"/>
              <w:rPr>
                <w:rFonts w:ascii="仿宋" w:hAnsi="仿宋" w:eastAsia="仿宋" w:cs="仿宋"/>
                <w:color w:val="auto"/>
                <w:sz w:val="22"/>
                <w:szCs w:val="22"/>
              </w:rPr>
            </w:pPr>
          </w:p>
        </w:tc>
        <w:tc>
          <w:tcPr>
            <w:tcW w:w="519" w:type="dxa"/>
            <w:vAlign w:val="center"/>
          </w:tcPr>
          <w:p>
            <w:pPr>
              <w:adjustRightInd w:val="0"/>
              <w:snapToGrid w:val="0"/>
              <w:spacing w:line="340" w:lineRule="exact"/>
              <w:jc w:val="center"/>
              <w:rPr>
                <w:rFonts w:ascii="仿宋" w:hAnsi="仿宋" w:eastAsia="仿宋" w:cs="仿宋"/>
                <w:color w:val="auto"/>
                <w:sz w:val="22"/>
                <w:szCs w:val="22"/>
              </w:rPr>
            </w:pPr>
            <w:r>
              <w:rPr>
                <w:rFonts w:ascii="仿宋" w:hAnsi="仿宋" w:eastAsia="仿宋" w:cs="仿宋"/>
                <w:color w:val="auto"/>
                <w:sz w:val="22"/>
                <w:szCs w:val="22"/>
              </w:rPr>
              <w:t>08</w:t>
            </w:r>
          </w:p>
        </w:tc>
        <w:tc>
          <w:tcPr>
            <w:tcW w:w="5291" w:type="dxa"/>
            <w:vAlign w:val="center"/>
          </w:tcPr>
          <w:p>
            <w:pPr>
              <w:rPr>
                <w:rFonts w:ascii="仿宋" w:hAnsi="仿宋" w:eastAsia="仿宋" w:cs="仿宋"/>
                <w:color w:val="auto"/>
                <w:sz w:val="22"/>
                <w:szCs w:val="22"/>
              </w:rPr>
            </w:pPr>
            <w:r>
              <w:rPr>
                <w:rFonts w:hint="eastAsia" w:ascii="仿宋" w:hAnsi="仿宋" w:eastAsia="仿宋" w:cs="仿宋"/>
                <w:color w:val="auto"/>
                <w:sz w:val="22"/>
                <w:szCs w:val="22"/>
              </w:rPr>
              <w:t>本县（市、区）科技成果转移转化管理部门人员中本科及以上学历人数所占比例（</w:t>
            </w:r>
            <w:r>
              <w:rPr>
                <w:rFonts w:ascii="仿宋" w:hAnsi="仿宋" w:eastAsia="仿宋" w:cs="仿宋"/>
                <w:color w:val="auto"/>
                <w:sz w:val="22"/>
                <w:szCs w:val="22"/>
              </w:rPr>
              <w:t>%</w:t>
            </w:r>
            <w:r>
              <w:rPr>
                <w:rFonts w:hint="eastAsia" w:ascii="仿宋" w:hAnsi="仿宋" w:eastAsia="仿宋" w:cs="仿宋"/>
                <w:color w:val="auto"/>
                <w:sz w:val="22"/>
                <w:szCs w:val="22"/>
              </w:rPr>
              <w:t>）</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trPr>
        <w:tc>
          <w:tcPr>
            <w:tcW w:w="917" w:type="dxa"/>
            <w:vMerge w:val="continue"/>
            <w:vAlign w:val="center"/>
          </w:tcPr>
          <w:p>
            <w:pPr>
              <w:widowControl/>
              <w:jc w:val="left"/>
              <w:rPr>
                <w:rFonts w:ascii="黑体" w:hAnsi="黑体" w:eastAsia="黑体" w:cs="黑体"/>
                <w:bCs/>
                <w:color w:val="auto"/>
                <w:sz w:val="24"/>
                <w:szCs w:val="24"/>
              </w:rPr>
            </w:pPr>
          </w:p>
        </w:tc>
        <w:tc>
          <w:tcPr>
            <w:tcW w:w="533" w:type="dxa"/>
            <w:vMerge w:val="continue"/>
            <w:vAlign w:val="center"/>
          </w:tcPr>
          <w:p>
            <w:pPr>
              <w:widowControl/>
              <w:jc w:val="left"/>
              <w:rPr>
                <w:rFonts w:ascii="黑体" w:hAnsi="黑体" w:eastAsia="黑体" w:cs="黑体"/>
                <w:bCs/>
                <w:color w:val="auto"/>
                <w:kern w:val="0"/>
                <w:sz w:val="24"/>
                <w:szCs w:val="24"/>
              </w:rPr>
            </w:pPr>
          </w:p>
        </w:tc>
        <w:tc>
          <w:tcPr>
            <w:tcW w:w="615" w:type="dxa"/>
            <w:vMerge w:val="continue"/>
            <w:vAlign w:val="center"/>
          </w:tcPr>
          <w:p>
            <w:pPr>
              <w:widowControl/>
              <w:jc w:val="left"/>
              <w:rPr>
                <w:rFonts w:ascii="仿宋" w:hAnsi="仿宋" w:eastAsia="仿宋" w:cs="仿宋"/>
                <w:color w:val="auto"/>
                <w:sz w:val="22"/>
                <w:szCs w:val="22"/>
              </w:rPr>
            </w:pPr>
          </w:p>
        </w:tc>
        <w:tc>
          <w:tcPr>
            <w:tcW w:w="519" w:type="dxa"/>
            <w:vAlign w:val="center"/>
          </w:tcPr>
          <w:p>
            <w:pPr>
              <w:adjustRightInd w:val="0"/>
              <w:snapToGrid w:val="0"/>
              <w:spacing w:line="340" w:lineRule="exact"/>
              <w:jc w:val="center"/>
              <w:rPr>
                <w:rFonts w:ascii="仿宋" w:hAnsi="仿宋" w:eastAsia="仿宋" w:cs="仿宋"/>
                <w:color w:val="auto"/>
                <w:sz w:val="22"/>
                <w:szCs w:val="22"/>
              </w:rPr>
            </w:pPr>
            <w:r>
              <w:rPr>
                <w:rFonts w:ascii="仿宋" w:hAnsi="仿宋" w:eastAsia="仿宋" w:cs="仿宋"/>
                <w:color w:val="auto"/>
                <w:sz w:val="22"/>
                <w:szCs w:val="22"/>
              </w:rPr>
              <w:t>09</w:t>
            </w:r>
          </w:p>
        </w:tc>
        <w:tc>
          <w:tcPr>
            <w:tcW w:w="5291" w:type="dxa"/>
            <w:vAlign w:val="center"/>
          </w:tcPr>
          <w:p>
            <w:pPr>
              <w:rPr>
                <w:rFonts w:ascii="仿宋" w:hAnsi="仿宋" w:eastAsia="仿宋" w:cs="仿宋"/>
                <w:color w:val="auto"/>
                <w:sz w:val="22"/>
                <w:szCs w:val="22"/>
              </w:rPr>
            </w:pPr>
            <w:r>
              <w:rPr>
                <w:rFonts w:hint="eastAsia" w:ascii="仿宋" w:hAnsi="仿宋" w:eastAsia="仿宋" w:cs="仿宋"/>
                <w:color w:val="auto"/>
                <w:sz w:val="22"/>
                <w:szCs w:val="22"/>
              </w:rPr>
              <w:t>基层科技成果转移转化人才数量（人）</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trPr>
        <w:tc>
          <w:tcPr>
            <w:tcW w:w="917" w:type="dxa"/>
            <w:vMerge w:val="continue"/>
            <w:vAlign w:val="center"/>
          </w:tcPr>
          <w:p>
            <w:pPr>
              <w:widowControl/>
              <w:jc w:val="left"/>
              <w:rPr>
                <w:rFonts w:ascii="黑体" w:hAnsi="黑体" w:eastAsia="黑体" w:cs="黑体"/>
                <w:bCs/>
                <w:color w:val="auto"/>
                <w:sz w:val="24"/>
                <w:szCs w:val="24"/>
              </w:rPr>
            </w:pPr>
          </w:p>
        </w:tc>
        <w:tc>
          <w:tcPr>
            <w:tcW w:w="533" w:type="dxa"/>
            <w:vMerge w:val="restart"/>
            <w:vAlign w:val="center"/>
          </w:tcPr>
          <w:p>
            <w:pPr>
              <w:widowControl/>
              <w:jc w:val="left"/>
              <w:rPr>
                <w:rFonts w:ascii="黑体" w:hAnsi="黑体" w:eastAsia="黑体" w:cs="黑体"/>
                <w:bCs/>
                <w:color w:val="auto"/>
                <w:kern w:val="0"/>
                <w:sz w:val="24"/>
                <w:szCs w:val="24"/>
              </w:rPr>
            </w:pPr>
            <w:r>
              <w:rPr>
                <w:rFonts w:hint="eastAsia" w:ascii="黑体" w:hAnsi="黑体" w:eastAsia="黑体" w:cs="黑体"/>
                <w:bCs/>
                <w:color w:val="auto"/>
                <w:kern w:val="0"/>
                <w:sz w:val="24"/>
                <w:szCs w:val="24"/>
              </w:rPr>
              <w:t>技术转移平台</w:t>
            </w:r>
          </w:p>
        </w:tc>
        <w:tc>
          <w:tcPr>
            <w:tcW w:w="615" w:type="dxa"/>
            <w:vMerge w:val="restart"/>
            <w:vAlign w:val="center"/>
          </w:tcPr>
          <w:p>
            <w:pPr>
              <w:widowControl/>
              <w:jc w:val="left"/>
              <w:rPr>
                <w:rFonts w:ascii="仿宋" w:hAnsi="仿宋" w:eastAsia="仿宋" w:cs="仿宋"/>
                <w:color w:val="auto"/>
                <w:sz w:val="22"/>
                <w:szCs w:val="22"/>
              </w:rPr>
            </w:pPr>
            <w:r>
              <w:rPr>
                <w:rFonts w:ascii="仿宋" w:hAnsi="仿宋" w:eastAsia="仿宋" w:cs="仿宋"/>
                <w:color w:val="auto"/>
                <w:sz w:val="22"/>
                <w:szCs w:val="22"/>
              </w:rPr>
              <w:t>12%</w:t>
            </w:r>
          </w:p>
        </w:tc>
        <w:tc>
          <w:tcPr>
            <w:tcW w:w="519" w:type="dxa"/>
            <w:vAlign w:val="center"/>
          </w:tcPr>
          <w:p>
            <w:pPr>
              <w:widowControl/>
              <w:jc w:val="center"/>
              <w:rPr>
                <w:rFonts w:ascii="仿宋" w:hAnsi="仿宋" w:eastAsia="仿宋" w:cs="仿宋"/>
                <w:color w:val="auto"/>
                <w:sz w:val="22"/>
                <w:szCs w:val="22"/>
              </w:rPr>
            </w:pPr>
            <w:r>
              <w:rPr>
                <w:rFonts w:ascii="仿宋" w:hAnsi="仿宋" w:eastAsia="仿宋" w:cs="仿宋"/>
                <w:color w:val="auto"/>
                <w:sz w:val="22"/>
                <w:szCs w:val="22"/>
              </w:rPr>
              <w:t>10</w:t>
            </w:r>
          </w:p>
        </w:tc>
        <w:tc>
          <w:tcPr>
            <w:tcW w:w="5291" w:type="dxa"/>
            <w:vAlign w:val="center"/>
          </w:tcPr>
          <w:p>
            <w:pPr>
              <w:adjustRightInd w:val="0"/>
              <w:snapToGrid w:val="0"/>
              <w:spacing w:line="340" w:lineRule="exact"/>
              <w:rPr>
                <w:rFonts w:ascii="仿宋" w:hAnsi="仿宋" w:eastAsia="仿宋" w:cs="仿宋"/>
                <w:color w:val="auto"/>
                <w:sz w:val="22"/>
                <w:szCs w:val="22"/>
              </w:rPr>
            </w:pPr>
            <w:r>
              <w:rPr>
                <w:rFonts w:hint="eastAsia" w:ascii="仿宋" w:hAnsi="仿宋" w:eastAsia="仿宋" w:cs="仿宋"/>
                <w:color w:val="auto"/>
                <w:sz w:val="22"/>
                <w:szCs w:val="22"/>
              </w:rPr>
              <w:t>线上技术转移平台数量（个）</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trPr>
        <w:tc>
          <w:tcPr>
            <w:tcW w:w="917" w:type="dxa"/>
            <w:vMerge w:val="continue"/>
            <w:vAlign w:val="center"/>
          </w:tcPr>
          <w:p>
            <w:pPr>
              <w:widowControl/>
              <w:jc w:val="left"/>
              <w:rPr>
                <w:rFonts w:ascii="黑体" w:hAnsi="黑体" w:eastAsia="黑体" w:cs="黑体"/>
                <w:bCs/>
                <w:color w:val="auto"/>
                <w:sz w:val="24"/>
                <w:szCs w:val="24"/>
              </w:rPr>
            </w:pPr>
          </w:p>
        </w:tc>
        <w:tc>
          <w:tcPr>
            <w:tcW w:w="533" w:type="dxa"/>
            <w:vMerge w:val="continue"/>
            <w:vAlign w:val="center"/>
          </w:tcPr>
          <w:p>
            <w:pPr>
              <w:widowControl/>
              <w:jc w:val="left"/>
              <w:rPr>
                <w:rFonts w:ascii="黑体" w:hAnsi="黑体" w:eastAsia="黑体" w:cs="黑体"/>
                <w:bCs/>
                <w:color w:val="auto"/>
                <w:kern w:val="0"/>
                <w:sz w:val="24"/>
                <w:szCs w:val="24"/>
              </w:rPr>
            </w:pPr>
          </w:p>
        </w:tc>
        <w:tc>
          <w:tcPr>
            <w:tcW w:w="615" w:type="dxa"/>
            <w:vMerge w:val="continue"/>
            <w:vAlign w:val="center"/>
          </w:tcPr>
          <w:p>
            <w:pPr>
              <w:widowControl/>
              <w:jc w:val="left"/>
              <w:rPr>
                <w:rFonts w:ascii="仿宋" w:hAnsi="仿宋" w:eastAsia="仿宋" w:cs="仿宋"/>
                <w:color w:val="auto"/>
                <w:sz w:val="22"/>
                <w:szCs w:val="22"/>
              </w:rPr>
            </w:pPr>
          </w:p>
        </w:tc>
        <w:tc>
          <w:tcPr>
            <w:tcW w:w="519" w:type="dxa"/>
            <w:vAlign w:val="center"/>
          </w:tcPr>
          <w:p>
            <w:pPr>
              <w:widowControl/>
              <w:jc w:val="center"/>
              <w:rPr>
                <w:rFonts w:ascii="仿宋" w:hAnsi="仿宋" w:eastAsia="仿宋" w:cs="仿宋"/>
                <w:color w:val="auto"/>
                <w:sz w:val="22"/>
                <w:szCs w:val="22"/>
              </w:rPr>
            </w:pPr>
            <w:r>
              <w:rPr>
                <w:rFonts w:ascii="仿宋" w:hAnsi="仿宋" w:eastAsia="仿宋" w:cs="仿宋"/>
                <w:color w:val="auto"/>
                <w:sz w:val="22"/>
                <w:szCs w:val="22"/>
              </w:rPr>
              <w:t>11</w:t>
            </w:r>
          </w:p>
        </w:tc>
        <w:tc>
          <w:tcPr>
            <w:tcW w:w="5291" w:type="dxa"/>
            <w:vAlign w:val="center"/>
          </w:tcPr>
          <w:p>
            <w:pPr>
              <w:rPr>
                <w:rFonts w:ascii="仿宋" w:hAnsi="仿宋" w:eastAsia="仿宋" w:cs="仿宋"/>
                <w:color w:val="auto"/>
                <w:sz w:val="22"/>
                <w:szCs w:val="22"/>
              </w:rPr>
            </w:pPr>
            <w:r>
              <w:rPr>
                <w:rFonts w:hint="eastAsia" w:ascii="仿宋" w:hAnsi="仿宋" w:eastAsia="仿宋" w:cs="仿宋"/>
                <w:color w:val="auto"/>
                <w:sz w:val="22"/>
                <w:szCs w:val="22"/>
              </w:rPr>
              <w:t>线下技术转移平台数量（个）</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trPr>
        <w:tc>
          <w:tcPr>
            <w:tcW w:w="917" w:type="dxa"/>
            <w:vMerge w:val="continue"/>
            <w:vAlign w:val="center"/>
          </w:tcPr>
          <w:p>
            <w:pPr>
              <w:widowControl/>
              <w:jc w:val="left"/>
              <w:rPr>
                <w:rFonts w:ascii="黑体" w:hAnsi="黑体" w:eastAsia="黑体" w:cs="黑体"/>
                <w:bCs/>
                <w:color w:val="auto"/>
                <w:sz w:val="24"/>
                <w:szCs w:val="24"/>
              </w:rPr>
            </w:pPr>
          </w:p>
        </w:tc>
        <w:tc>
          <w:tcPr>
            <w:tcW w:w="533" w:type="dxa"/>
            <w:vMerge w:val="continue"/>
            <w:vAlign w:val="center"/>
          </w:tcPr>
          <w:p>
            <w:pPr>
              <w:widowControl/>
              <w:jc w:val="left"/>
              <w:rPr>
                <w:rFonts w:ascii="黑体" w:hAnsi="黑体" w:eastAsia="黑体" w:cs="黑体"/>
                <w:bCs/>
                <w:color w:val="auto"/>
                <w:kern w:val="0"/>
                <w:sz w:val="24"/>
                <w:szCs w:val="24"/>
              </w:rPr>
            </w:pPr>
          </w:p>
        </w:tc>
        <w:tc>
          <w:tcPr>
            <w:tcW w:w="615" w:type="dxa"/>
            <w:vMerge w:val="continue"/>
            <w:vAlign w:val="center"/>
          </w:tcPr>
          <w:p>
            <w:pPr>
              <w:widowControl/>
              <w:jc w:val="left"/>
              <w:rPr>
                <w:rFonts w:ascii="仿宋" w:hAnsi="仿宋" w:eastAsia="仿宋" w:cs="仿宋"/>
                <w:color w:val="auto"/>
                <w:sz w:val="22"/>
                <w:szCs w:val="22"/>
              </w:rPr>
            </w:pPr>
          </w:p>
        </w:tc>
        <w:tc>
          <w:tcPr>
            <w:tcW w:w="519" w:type="dxa"/>
            <w:vAlign w:val="center"/>
          </w:tcPr>
          <w:p>
            <w:pPr>
              <w:widowControl/>
              <w:jc w:val="center"/>
              <w:rPr>
                <w:rFonts w:ascii="仿宋" w:hAnsi="仿宋" w:eastAsia="仿宋" w:cs="仿宋"/>
                <w:color w:val="auto"/>
                <w:sz w:val="22"/>
                <w:szCs w:val="22"/>
              </w:rPr>
            </w:pPr>
            <w:r>
              <w:rPr>
                <w:rFonts w:ascii="仿宋" w:hAnsi="仿宋" w:eastAsia="仿宋" w:cs="仿宋"/>
                <w:color w:val="auto"/>
                <w:sz w:val="22"/>
                <w:szCs w:val="22"/>
              </w:rPr>
              <w:t>12</w:t>
            </w:r>
          </w:p>
        </w:tc>
        <w:tc>
          <w:tcPr>
            <w:tcW w:w="5291" w:type="dxa"/>
            <w:vAlign w:val="center"/>
          </w:tcPr>
          <w:p>
            <w:pPr>
              <w:adjustRightInd w:val="0"/>
              <w:snapToGrid w:val="0"/>
              <w:spacing w:line="340" w:lineRule="exact"/>
              <w:rPr>
                <w:rFonts w:ascii="仿宋" w:hAnsi="仿宋" w:eastAsia="仿宋" w:cs="仿宋"/>
                <w:color w:val="auto"/>
                <w:sz w:val="22"/>
                <w:szCs w:val="22"/>
              </w:rPr>
            </w:pPr>
            <w:r>
              <w:rPr>
                <w:rFonts w:hint="eastAsia" w:ascii="仿宋" w:hAnsi="仿宋" w:eastAsia="仿宋" w:cs="仿宋"/>
                <w:color w:val="auto"/>
                <w:sz w:val="22"/>
                <w:szCs w:val="22"/>
              </w:rPr>
              <w:t>举办技术对接活动（次）</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trPr>
        <w:tc>
          <w:tcPr>
            <w:tcW w:w="917" w:type="dxa"/>
            <w:vMerge w:val="continue"/>
            <w:vAlign w:val="center"/>
          </w:tcPr>
          <w:p>
            <w:pPr>
              <w:widowControl/>
              <w:jc w:val="left"/>
              <w:rPr>
                <w:rFonts w:ascii="黑体" w:hAnsi="黑体" w:eastAsia="黑体" w:cs="黑体"/>
                <w:bCs/>
                <w:color w:val="auto"/>
                <w:sz w:val="24"/>
                <w:szCs w:val="24"/>
              </w:rPr>
            </w:pPr>
          </w:p>
        </w:tc>
        <w:tc>
          <w:tcPr>
            <w:tcW w:w="533" w:type="dxa"/>
            <w:vMerge w:val="continue"/>
            <w:vAlign w:val="center"/>
          </w:tcPr>
          <w:p>
            <w:pPr>
              <w:widowControl/>
              <w:jc w:val="left"/>
              <w:rPr>
                <w:rFonts w:ascii="黑体" w:hAnsi="黑体" w:eastAsia="黑体" w:cs="黑体"/>
                <w:bCs/>
                <w:color w:val="auto"/>
                <w:kern w:val="0"/>
                <w:sz w:val="24"/>
                <w:szCs w:val="24"/>
              </w:rPr>
            </w:pPr>
          </w:p>
        </w:tc>
        <w:tc>
          <w:tcPr>
            <w:tcW w:w="615" w:type="dxa"/>
            <w:vMerge w:val="continue"/>
            <w:vAlign w:val="center"/>
          </w:tcPr>
          <w:p>
            <w:pPr>
              <w:widowControl/>
              <w:jc w:val="left"/>
              <w:rPr>
                <w:rFonts w:ascii="仿宋" w:hAnsi="仿宋" w:eastAsia="仿宋" w:cs="仿宋"/>
                <w:color w:val="auto"/>
                <w:sz w:val="22"/>
                <w:szCs w:val="22"/>
              </w:rPr>
            </w:pPr>
          </w:p>
        </w:tc>
        <w:tc>
          <w:tcPr>
            <w:tcW w:w="519" w:type="dxa"/>
            <w:vAlign w:val="center"/>
          </w:tcPr>
          <w:p>
            <w:pPr>
              <w:widowControl/>
              <w:jc w:val="center"/>
              <w:rPr>
                <w:rFonts w:ascii="仿宋" w:hAnsi="仿宋" w:eastAsia="仿宋" w:cs="仿宋"/>
                <w:color w:val="auto"/>
                <w:sz w:val="22"/>
                <w:szCs w:val="22"/>
              </w:rPr>
            </w:pPr>
            <w:r>
              <w:rPr>
                <w:rFonts w:ascii="仿宋" w:hAnsi="仿宋" w:eastAsia="仿宋" w:cs="仿宋"/>
                <w:color w:val="auto"/>
                <w:sz w:val="22"/>
                <w:szCs w:val="22"/>
              </w:rPr>
              <w:t>13</w:t>
            </w:r>
          </w:p>
        </w:tc>
        <w:tc>
          <w:tcPr>
            <w:tcW w:w="5291" w:type="dxa"/>
            <w:vAlign w:val="center"/>
          </w:tcPr>
          <w:p>
            <w:pPr>
              <w:adjustRightInd w:val="0"/>
              <w:snapToGrid w:val="0"/>
              <w:spacing w:line="340" w:lineRule="exact"/>
              <w:rPr>
                <w:rFonts w:ascii="仿宋" w:hAnsi="仿宋" w:eastAsia="仿宋" w:cs="仿宋"/>
                <w:color w:val="auto"/>
                <w:sz w:val="22"/>
                <w:szCs w:val="22"/>
              </w:rPr>
            </w:pPr>
            <w:r>
              <w:rPr>
                <w:rFonts w:hint="eastAsia" w:ascii="仿宋" w:hAnsi="仿宋" w:eastAsia="仿宋" w:cs="仿宋"/>
                <w:color w:val="auto"/>
                <w:sz w:val="22"/>
                <w:szCs w:val="22"/>
              </w:rPr>
              <w:t>征集科技成果数量（项）</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trPr>
        <w:tc>
          <w:tcPr>
            <w:tcW w:w="917" w:type="dxa"/>
            <w:vMerge w:val="continue"/>
            <w:vAlign w:val="center"/>
          </w:tcPr>
          <w:p>
            <w:pPr>
              <w:widowControl/>
              <w:jc w:val="left"/>
              <w:rPr>
                <w:rFonts w:ascii="黑体" w:hAnsi="黑体" w:eastAsia="黑体" w:cs="黑体"/>
                <w:bCs/>
                <w:color w:val="auto"/>
                <w:sz w:val="24"/>
                <w:szCs w:val="24"/>
              </w:rPr>
            </w:pPr>
          </w:p>
        </w:tc>
        <w:tc>
          <w:tcPr>
            <w:tcW w:w="533" w:type="dxa"/>
            <w:vMerge w:val="continue"/>
            <w:vAlign w:val="center"/>
          </w:tcPr>
          <w:p>
            <w:pPr>
              <w:widowControl/>
              <w:jc w:val="left"/>
              <w:rPr>
                <w:rFonts w:ascii="黑体" w:hAnsi="黑体" w:eastAsia="黑体" w:cs="黑体"/>
                <w:bCs/>
                <w:color w:val="auto"/>
                <w:kern w:val="0"/>
                <w:sz w:val="24"/>
                <w:szCs w:val="24"/>
              </w:rPr>
            </w:pPr>
          </w:p>
        </w:tc>
        <w:tc>
          <w:tcPr>
            <w:tcW w:w="615" w:type="dxa"/>
            <w:vMerge w:val="continue"/>
            <w:vAlign w:val="center"/>
          </w:tcPr>
          <w:p>
            <w:pPr>
              <w:widowControl/>
              <w:jc w:val="left"/>
              <w:rPr>
                <w:rFonts w:ascii="仿宋" w:hAnsi="仿宋" w:eastAsia="仿宋" w:cs="仿宋"/>
                <w:color w:val="auto"/>
                <w:sz w:val="22"/>
                <w:szCs w:val="22"/>
              </w:rPr>
            </w:pPr>
          </w:p>
        </w:tc>
        <w:tc>
          <w:tcPr>
            <w:tcW w:w="519" w:type="dxa"/>
            <w:vAlign w:val="center"/>
          </w:tcPr>
          <w:p>
            <w:pPr>
              <w:widowControl/>
              <w:jc w:val="center"/>
              <w:rPr>
                <w:rFonts w:ascii="仿宋" w:hAnsi="仿宋" w:eastAsia="仿宋" w:cs="仿宋"/>
                <w:color w:val="auto"/>
                <w:sz w:val="22"/>
                <w:szCs w:val="22"/>
              </w:rPr>
            </w:pPr>
            <w:r>
              <w:rPr>
                <w:rFonts w:ascii="仿宋" w:hAnsi="仿宋" w:eastAsia="仿宋" w:cs="仿宋"/>
                <w:color w:val="auto"/>
                <w:sz w:val="22"/>
                <w:szCs w:val="22"/>
              </w:rPr>
              <w:t>14</w:t>
            </w:r>
          </w:p>
        </w:tc>
        <w:tc>
          <w:tcPr>
            <w:tcW w:w="5291" w:type="dxa"/>
            <w:vAlign w:val="center"/>
          </w:tcPr>
          <w:p>
            <w:pPr>
              <w:adjustRightInd w:val="0"/>
              <w:snapToGrid w:val="0"/>
              <w:spacing w:line="340" w:lineRule="exact"/>
              <w:rPr>
                <w:rFonts w:ascii="仿宋" w:hAnsi="仿宋" w:eastAsia="仿宋" w:cs="仿宋"/>
                <w:color w:val="auto"/>
                <w:sz w:val="22"/>
                <w:szCs w:val="22"/>
              </w:rPr>
            </w:pPr>
            <w:r>
              <w:rPr>
                <w:rFonts w:hint="eastAsia" w:ascii="仿宋" w:hAnsi="仿宋" w:eastAsia="仿宋" w:cs="仿宋"/>
                <w:color w:val="auto"/>
                <w:sz w:val="22"/>
                <w:szCs w:val="22"/>
              </w:rPr>
              <w:t>发布技术需求数量（项）</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trPr>
        <w:tc>
          <w:tcPr>
            <w:tcW w:w="917" w:type="dxa"/>
            <w:vMerge w:val="continue"/>
            <w:vAlign w:val="center"/>
          </w:tcPr>
          <w:p>
            <w:pPr>
              <w:widowControl/>
              <w:jc w:val="left"/>
              <w:rPr>
                <w:rFonts w:ascii="黑体" w:hAnsi="黑体" w:eastAsia="黑体" w:cs="黑体"/>
                <w:bCs/>
                <w:color w:val="auto"/>
                <w:sz w:val="24"/>
                <w:szCs w:val="24"/>
              </w:rPr>
            </w:pPr>
          </w:p>
        </w:tc>
        <w:tc>
          <w:tcPr>
            <w:tcW w:w="533" w:type="dxa"/>
            <w:vMerge w:val="restart"/>
            <w:vAlign w:val="center"/>
          </w:tcPr>
          <w:p>
            <w:pPr>
              <w:widowControl/>
              <w:jc w:val="left"/>
              <w:rPr>
                <w:rFonts w:ascii="仿宋_GB2312" w:hAnsi="仿宋_GB2312" w:eastAsia="仿宋_GB2312" w:cs="仿宋_GB2312"/>
                <w:color w:val="auto"/>
                <w:sz w:val="24"/>
                <w:szCs w:val="24"/>
              </w:rPr>
            </w:pPr>
            <w:r>
              <w:rPr>
                <w:rFonts w:hint="eastAsia" w:ascii="黑体" w:hAnsi="黑体" w:eastAsia="黑体" w:cs="黑体"/>
                <w:bCs/>
                <w:color w:val="auto"/>
                <w:kern w:val="0"/>
                <w:sz w:val="24"/>
                <w:szCs w:val="24"/>
              </w:rPr>
              <w:t>技术转移服务机构</w:t>
            </w:r>
          </w:p>
        </w:tc>
        <w:tc>
          <w:tcPr>
            <w:tcW w:w="615" w:type="dxa"/>
            <w:vMerge w:val="restart"/>
            <w:vAlign w:val="center"/>
          </w:tcPr>
          <w:p>
            <w:pPr>
              <w:widowControl/>
              <w:jc w:val="left"/>
              <w:rPr>
                <w:rFonts w:ascii="仿宋" w:hAnsi="仿宋" w:eastAsia="仿宋" w:cs="仿宋"/>
                <w:color w:val="auto"/>
                <w:sz w:val="22"/>
                <w:szCs w:val="22"/>
              </w:rPr>
            </w:pPr>
            <w:r>
              <w:rPr>
                <w:rFonts w:ascii="仿宋" w:hAnsi="仿宋" w:eastAsia="仿宋" w:cs="仿宋"/>
                <w:color w:val="auto"/>
                <w:sz w:val="22"/>
                <w:szCs w:val="22"/>
              </w:rPr>
              <w:t>12%</w:t>
            </w:r>
          </w:p>
        </w:tc>
        <w:tc>
          <w:tcPr>
            <w:tcW w:w="519" w:type="dxa"/>
            <w:vAlign w:val="center"/>
          </w:tcPr>
          <w:p>
            <w:pPr>
              <w:widowControl/>
              <w:jc w:val="center"/>
              <w:rPr>
                <w:rFonts w:ascii="仿宋" w:hAnsi="仿宋" w:eastAsia="仿宋" w:cs="仿宋"/>
                <w:color w:val="auto"/>
                <w:sz w:val="22"/>
                <w:szCs w:val="22"/>
              </w:rPr>
            </w:pPr>
            <w:r>
              <w:rPr>
                <w:rFonts w:ascii="仿宋" w:hAnsi="仿宋" w:eastAsia="仿宋" w:cs="仿宋"/>
                <w:color w:val="auto"/>
                <w:sz w:val="22"/>
                <w:szCs w:val="22"/>
              </w:rPr>
              <w:t>15</w:t>
            </w:r>
          </w:p>
        </w:tc>
        <w:tc>
          <w:tcPr>
            <w:tcW w:w="5291" w:type="dxa"/>
            <w:vAlign w:val="center"/>
          </w:tcPr>
          <w:p>
            <w:pPr>
              <w:adjustRightInd w:val="0"/>
              <w:snapToGrid w:val="0"/>
              <w:spacing w:line="340" w:lineRule="exact"/>
              <w:rPr>
                <w:rFonts w:ascii="仿宋" w:hAnsi="仿宋" w:eastAsia="仿宋" w:cs="仿宋"/>
                <w:color w:val="auto"/>
                <w:sz w:val="22"/>
                <w:szCs w:val="22"/>
              </w:rPr>
            </w:pPr>
            <w:r>
              <w:rPr>
                <w:rFonts w:hint="eastAsia" w:ascii="仿宋" w:hAnsi="仿宋" w:eastAsia="仿宋" w:cs="仿宋"/>
                <w:color w:val="auto"/>
                <w:sz w:val="22"/>
                <w:szCs w:val="22"/>
              </w:rPr>
              <w:t>技术转移服务机构数量（家）</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trPr>
        <w:tc>
          <w:tcPr>
            <w:tcW w:w="917" w:type="dxa"/>
            <w:vMerge w:val="continue"/>
            <w:vAlign w:val="center"/>
          </w:tcPr>
          <w:p>
            <w:pPr>
              <w:widowControl/>
              <w:jc w:val="left"/>
              <w:rPr>
                <w:rFonts w:ascii="黑体" w:hAnsi="黑体" w:eastAsia="黑体" w:cs="黑体"/>
                <w:bCs/>
                <w:color w:val="auto"/>
                <w:sz w:val="24"/>
                <w:szCs w:val="24"/>
              </w:rPr>
            </w:pPr>
          </w:p>
        </w:tc>
        <w:tc>
          <w:tcPr>
            <w:tcW w:w="533" w:type="dxa"/>
            <w:vMerge w:val="continue"/>
            <w:vAlign w:val="center"/>
          </w:tcPr>
          <w:p>
            <w:pPr>
              <w:widowControl/>
              <w:jc w:val="left"/>
              <w:rPr>
                <w:rFonts w:ascii="仿宋_GB2312" w:hAnsi="仿宋_GB2312" w:eastAsia="仿宋_GB2312" w:cs="仿宋_GB2312"/>
                <w:color w:val="auto"/>
                <w:sz w:val="24"/>
                <w:szCs w:val="24"/>
              </w:rPr>
            </w:pPr>
          </w:p>
        </w:tc>
        <w:tc>
          <w:tcPr>
            <w:tcW w:w="615" w:type="dxa"/>
            <w:vMerge w:val="continue"/>
            <w:vAlign w:val="center"/>
          </w:tcPr>
          <w:p>
            <w:pPr>
              <w:widowControl/>
              <w:jc w:val="left"/>
              <w:rPr>
                <w:rFonts w:ascii="仿宋" w:hAnsi="仿宋" w:eastAsia="仿宋" w:cs="仿宋"/>
                <w:color w:val="auto"/>
                <w:sz w:val="22"/>
                <w:szCs w:val="22"/>
              </w:rPr>
            </w:pPr>
          </w:p>
        </w:tc>
        <w:tc>
          <w:tcPr>
            <w:tcW w:w="519" w:type="dxa"/>
            <w:vAlign w:val="center"/>
          </w:tcPr>
          <w:p>
            <w:pPr>
              <w:widowControl/>
              <w:jc w:val="center"/>
              <w:rPr>
                <w:rFonts w:ascii="仿宋" w:hAnsi="仿宋" w:eastAsia="仿宋" w:cs="仿宋"/>
                <w:color w:val="auto"/>
                <w:sz w:val="22"/>
                <w:szCs w:val="22"/>
              </w:rPr>
            </w:pPr>
            <w:r>
              <w:rPr>
                <w:rFonts w:ascii="仿宋" w:hAnsi="仿宋" w:eastAsia="仿宋" w:cs="仿宋"/>
                <w:color w:val="auto"/>
                <w:sz w:val="22"/>
                <w:szCs w:val="22"/>
              </w:rPr>
              <w:t>16</w:t>
            </w:r>
          </w:p>
        </w:tc>
        <w:tc>
          <w:tcPr>
            <w:tcW w:w="5291" w:type="dxa"/>
            <w:vAlign w:val="center"/>
          </w:tcPr>
          <w:p>
            <w:pPr>
              <w:widowControl/>
              <w:jc w:val="left"/>
              <w:rPr>
                <w:rFonts w:ascii="仿宋" w:hAnsi="仿宋" w:eastAsia="仿宋" w:cs="仿宋"/>
                <w:color w:val="auto"/>
                <w:sz w:val="22"/>
                <w:szCs w:val="22"/>
              </w:rPr>
            </w:pPr>
            <w:r>
              <w:rPr>
                <w:rFonts w:hint="eastAsia" w:ascii="仿宋" w:hAnsi="仿宋" w:eastAsia="仿宋" w:cs="仿宋"/>
                <w:color w:val="auto"/>
                <w:sz w:val="22"/>
                <w:szCs w:val="22"/>
              </w:rPr>
              <w:t>省级技术转移服务机构数量（家）</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trPr>
        <w:tc>
          <w:tcPr>
            <w:tcW w:w="917" w:type="dxa"/>
            <w:vMerge w:val="continue"/>
            <w:vAlign w:val="center"/>
          </w:tcPr>
          <w:p>
            <w:pPr>
              <w:widowControl/>
              <w:jc w:val="left"/>
              <w:rPr>
                <w:rFonts w:ascii="黑体" w:hAnsi="黑体" w:eastAsia="黑体" w:cs="黑体"/>
                <w:bCs/>
                <w:color w:val="auto"/>
                <w:sz w:val="24"/>
                <w:szCs w:val="24"/>
              </w:rPr>
            </w:pPr>
          </w:p>
        </w:tc>
        <w:tc>
          <w:tcPr>
            <w:tcW w:w="533" w:type="dxa"/>
            <w:vMerge w:val="continue"/>
            <w:vAlign w:val="center"/>
          </w:tcPr>
          <w:p>
            <w:pPr>
              <w:widowControl/>
              <w:jc w:val="left"/>
              <w:rPr>
                <w:rFonts w:ascii="仿宋_GB2312" w:hAnsi="仿宋_GB2312" w:eastAsia="仿宋_GB2312" w:cs="仿宋_GB2312"/>
                <w:color w:val="auto"/>
                <w:sz w:val="24"/>
                <w:szCs w:val="24"/>
              </w:rPr>
            </w:pPr>
          </w:p>
        </w:tc>
        <w:tc>
          <w:tcPr>
            <w:tcW w:w="615" w:type="dxa"/>
            <w:vMerge w:val="continue"/>
            <w:vAlign w:val="center"/>
          </w:tcPr>
          <w:p>
            <w:pPr>
              <w:widowControl/>
              <w:jc w:val="left"/>
              <w:rPr>
                <w:rFonts w:ascii="仿宋" w:hAnsi="仿宋" w:eastAsia="仿宋" w:cs="仿宋"/>
                <w:color w:val="auto"/>
                <w:sz w:val="22"/>
                <w:szCs w:val="22"/>
              </w:rPr>
            </w:pPr>
          </w:p>
        </w:tc>
        <w:tc>
          <w:tcPr>
            <w:tcW w:w="519" w:type="dxa"/>
            <w:vAlign w:val="center"/>
          </w:tcPr>
          <w:p>
            <w:pPr>
              <w:widowControl/>
              <w:jc w:val="center"/>
              <w:rPr>
                <w:rFonts w:ascii="仿宋" w:hAnsi="仿宋" w:eastAsia="仿宋" w:cs="仿宋"/>
                <w:color w:val="auto"/>
                <w:sz w:val="22"/>
                <w:szCs w:val="22"/>
              </w:rPr>
            </w:pPr>
            <w:r>
              <w:rPr>
                <w:rFonts w:ascii="仿宋" w:hAnsi="仿宋" w:eastAsia="仿宋" w:cs="仿宋"/>
                <w:color w:val="auto"/>
                <w:sz w:val="22"/>
                <w:szCs w:val="22"/>
              </w:rPr>
              <w:t>17</w:t>
            </w:r>
          </w:p>
        </w:tc>
        <w:tc>
          <w:tcPr>
            <w:tcW w:w="5291" w:type="dxa"/>
            <w:vAlign w:val="center"/>
          </w:tcPr>
          <w:p>
            <w:pPr>
              <w:adjustRightInd w:val="0"/>
              <w:snapToGrid w:val="0"/>
              <w:spacing w:line="340" w:lineRule="exact"/>
              <w:jc w:val="left"/>
              <w:rPr>
                <w:rFonts w:ascii="仿宋" w:hAnsi="仿宋" w:eastAsia="仿宋" w:cs="仿宋"/>
                <w:color w:val="auto"/>
                <w:sz w:val="22"/>
                <w:szCs w:val="22"/>
              </w:rPr>
            </w:pPr>
            <w:r>
              <w:rPr>
                <w:rFonts w:hint="eastAsia" w:ascii="仿宋" w:hAnsi="仿宋" w:eastAsia="仿宋" w:cs="仿宋"/>
                <w:color w:val="auto"/>
                <w:sz w:val="22"/>
                <w:szCs w:val="22"/>
              </w:rPr>
              <w:t>促成技术转移项目（项）</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trPr>
        <w:tc>
          <w:tcPr>
            <w:tcW w:w="917" w:type="dxa"/>
            <w:vMerge w:val="continue"/>
            <w:vAlign w:val="center"/>
          </w:tcPr>
          <w:p>
            <w:pPr>
              <w:widowControl/>
              <w:jc w:val="left"/>
              <w:rPr>
                <w:rFonts w:ascii="黑体" w:hAnsi="黑体" w:eastAsia="黑体" w:cs="黑体"/>
                <w:bCs/>
                <w:color w:val="auto"/>
                <w:sz w:val="24"/>
                <w:szCs w:val="24"/>
              </w:rPr>
            </w:pPr>
          </w:p>
        </w:tc>
        <w:tc>
          <w:tcPr>
            <w:tcW w:w="533" w:type="dxa"/>
            <w:vMerge w:val="continue"/>
            <w:vAlign w:val="center"/>
          </w:tcPr>
          <w:p>
            <w:pPr>
              <w:widowControl/>
              <w:jc w:val="left"/>
              <w:rPr>
                <w:rFonts w:ascii="仿宋_GB2312" w:hAnsi="仿宋_GB2312" w:eastAsia="仿宋_GB2312" w:cs="仿宋_GB2312"/>
                <w:color w:val="auto"/>
                <w:sz w:val="24"/>
                <w:szCs w:val="24"/>
              </w:rPr>
            </w:pPr>
          </w:p>
        </w:tc>
        <w:tc>
          <w:tcPr>
            <w:tcW w:w="615" w:type="dxa"/>
            <w:vMerge w:val="continue"/>
            <w:vAlign w:val="center"/>
          </w:tcPr>
          <w:p>
            <w:pPr>
              <w:widowControl/>
              <w:jc w:val="left"/>
              <w:rPr>
                <w:rFonts w:ascii="仿宋" w:hAnsi="仿宋" w:eastAsia="仿宋" w:cs="仿宋"/>
                <w:color w:val="auto"/>
                <w:sz w:val="22"/>
                <w:szCs w:val="22"/>
              </w:rPr>
            </w:pPr>
          </w:p>
        </w:tc>
        <w:tc>
          <w:tcPr>
            <w:tcW w:w="519" w:type="dxa"/>
            <w:vAlign w:val="center"/>
          </w:tcPr>
          <w:p>
            <w:pPr>
              <w:widowControl/>
              <w:jc w:val="center"/>
              <w:rPr>
                <w:rFonts w:ascii="仿宋" w:hAnsi="仿宋" w:eastAsia="仿宋" w:cs="仿宋"/>
                <w:color w:val="auto"/>
                <w:sz w:val="22"/>
                <w:szCs w:val="22"/>
              </w:rPr>
            </w:pPr>
            <w:r>
              <w:rPr>
                <w:rFonts w:ascii="仿宋" w:hAnsi="仿宋" w:eastAsia="仿宋" w:cs="仿宋"/>
                <w:color w:val="auto"/>
                <w:sz w:val="22"/>
                <w:szCs w:val="22"/>
              </w:rPr>
              <w:t>18</w:t>
            </w:r>
          </w:p>
        </w:tc>
        <w:tc>
          <w:tcPr>
            <w:tcW w:w="5291" w:type="dxa"/>
            <w:vAlign w:val="center"/>
          </w:tcPr>
          <w:p>
            <w:pPr>
              <w:adjustRightInd w:val="0"/>
              <w:snapToGrid w:val="0"/>
              <w:spacing w:line="340" w:lineRule="exact"/>
              <w:rPr>
                <w:rFonts w:ascii="仿宋" w:hAnsi="仿宋" w:eastAsia="仿宋" w:cs="仿宋"/>
                <w:color w:val="auto"/>
                <w:sz w:val="22"/>
                <w:szCs w:val="22"/>
              </w:rPr>
            </w:pPr>
            <w:r>
              <w:rPr>
                <w:rFonts w:hint="eastAsia" w:ascii="仿宋" w:hAnsi="仿宋" w:eastAsia="仿宋" w:cs="仿宋"/>
                <w:color w:val="auto"/>
                <w:sz w:val="22"/>
                <w:szCs w:val="22"/>
              </w:rPr>
              <w:t>促成技术转移转化金额（万元）</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trPr>
        <w:tc>
          <w:tcPr>
            <w:tcW w:w="917" w:type="dxa"/>
            <w:vMerge w:val="continue"/>
            <w:vAlign w:val="center"/>
          </w:tcPr>
          <w:p>
            <w:pPr>
              <w:widowControl/>
              <w:jc w:val="left"/>
              <w:rPr>
                <w:rFonts w:ascii="黑体" w:hAnsi="黑体" w:eastAsia="黑体" w:cs="黑体"/>
                <w:bCs/>
                <w:color w:val="auto"/>
                <w:sz w:val="24"/>
                <w:szCs w:val="24"/>
              </w:rPr>
            </w:pPr>
          </w:p>
        </w:tc>
        <w:tc>
          <w:tcPr>
            <w:tcW w:w="533" w:type="dxa"/>
            <w:vMerge w:val="continue"/>
            <w:vAlign w:val="center"/>
          </w:tcPr>
          <w:p>
            <w:pPr>
              <w:widowControl/>
              <w:jc w:val="left"/>
              <w:rPr>
                <w:rFonts w:ascii="仿宋_GB2312" w:hAnsi="仿宋_GB2312" w:eastAsia="仿宋_GB2312" w:cs="仿宋_GB2312"/>
                <w:color w:val="auto"/>
                <w:sz w:val="24"/>
                <w:szCs w:val="24"/>
              </w:rPr>
            </w:pPr>
          </w:p>
        </w:tc>
        <w:tc>
          <w:tcPr>
            <w:tcW w:w="615" w:type="dxa"/>
            <w:vMerge w:val="continue"/>
            <w:vAlign w:val="center"/>
          </w:tcPr>
          <w:p>
            <w:pPr>
              <w:widowControl/>
              <w:jc w:val="left"/>
              <w:rPr>
                <w:rFonts w:ascii="仿宋" w:hAnsi="仿宋" w:eastAsia="仿宋" w:cs="仿宋"/>
                <w:color w:val="auto"/>
                <w:sz w:val="22"/>
                <w:szCs w:val="22"/>
              </w:rPr>
            </w:pPr>
          </w:p>
        </w:tc>
        <w:tc>
          <w:tcPr>
            <w:tcW w:w="519" w:type="dxa"/>
            <w:vAlign w:val="center"/>
          </w:tcPr>
          <w:p>
            <w:pPr>
              <w:adjustRightInd w:val="0"/>
              <w:snapToGrid w:val="0"/>
              <w:spacing w:line="340" w:lineRule="exact"/>
              <w:jc w:val="center"/>
              <w:rPr>
                <w:rFonts w:ascii="仿宋" w:hAnsi="仿宋" w:eastAsia="仿宋" w:cs="仿宋"/>
                <w:color w:val="auto"/>
                <w:sz w:val="22"/>
                <w:szCs w:val="22"/>
              </w:rPr>
            </w:pPr>
            <w:r>
              <w:rPr>
                <w:rFonts w:ascii="仿宋" w:hAnsi="仿宋" w:eastAsia="仿宋" w:cs="仿宋"/>
                <w:color w:val="auto"/>
                <w:sz w:val="22"/>
                <w:szCs w:val="22"/>
              </w:rPr>
              <w:t>19</w:t>
            </w:r>
          </w:p>
        </w:tc>
        <w:tc>
          <w:tcPr>
            <w:tcW w:w="5291" w:type="dxa"/>
            <w:vAlign w:val="center"/>
          </w:tcPr>
          <w:p>
            <w:pPr>
              <w:adjustRightInd w:val="0"/>
              <w:snapToGrid w:val="0"/>
              <w:spacing w:line="340" w:lineRule="exact"/>
              <w:rPr>
                <w:rFonts w:ascii="仿宋" w:hAnsi="仿宋" w:eastAsia="仿宋" w:cs="仿宋"/>
                <w:color w:val="auto"/>
                <w:sz w:val="22"/>
                <w:szCs w:val="22"/>
              </w:rPr>
            </w:pPr>
            <w:r>
              <w:rPr>
                <w:rFonts w:hint="eastAsia" w:ascii="仿宋" w:hAnsi="仿宋" w:eastAsia="仿宋" w:cs="仿宋"/>
                <w:color w:val="auto"/>
                <w:sz w:val="22"/>
                <w:szCs w:val="22"/>
              </w:rPr>
              <w:t>组织技术对接活动（次）</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trPr>
        <w:tc>
          <w:tcPr>
            <w:tcW w:w="917" w:type="dxa"/>
            <w:vMerge w:val="continue"/>
            <w:vAlign w:val="center"/>
          </w:tcPr>
          <w:p>
            <w:pPr>
              <w:widowControl/>
              <w:jc w:val="left"/>
              <w:rPr>
                <w:rFonts w:ascii="黑体" w:hAnsi="黑体" w:eastAsia="黑体" w:cs="黑体"/>
                <w:bCs/>
                <w:color w:val="auto"/>
                <w:sz w:val="24"/>
                <w:szCs w:val="24"/>
              </w:rPr>
            </w:pPr>
          </w:p>
        </w:tc>
        <w:tc>
          <w:tcPr>
            <w:tcW w:w="533" w:type="dxa"/>
            <w:vMerge w:val="continue"/>
            <w:vAlign w:val="center"/>
          </w:tcPr>
          <w:p>
            <w:pPr>
              <w:widowControl/>
              <w:jc w:val="left"/>
              <w:rPr>
                <w:rFonts w:ascii="仿宋_GB2312" w:hAnsi="仿宋_GB2312" w:eastAsia="仿宋_GB2312" w:cs="仿宋_GB2312"/>
                <w:color w:val="auto"/>
                <w:sz w:val="24"/>
                <w:szCs w:val="24"/>
              </w:rPr>
            </w:pPr>
          </w:p>
        </w:tc>
        <w:tc>
          <w:tcPr>
            <w:tcW w:w="615" w:type="dxa"/>
            <w:vMerge w:val="continue"/>
            <w:vAlign w:val="center"/>
          </w:tcPr>
          <w:p>
            <w:pPr>
              <w:widowControl/>
              <w:jc w:val="left"/>
              <w:rPr>
                <w:rFonts w:ascii="仿宋" w:hAnsi="仿宋" w:eastAsia="仿宋" w:cs="仿宋"/>
                <w:color w:val="auto"/>
                <w:sz w:val="22"/>
                <w:szCs w:val="22"/>
              </w:rPr>
            </w:pPr>
          </w:p>
        </w:tc>
        <w:tc>
          <w:tcPr>
            <w:tcW w:w="519" w:type="dxa"/>
            <w:vAlign w:val="center"/>
          </w:tcPr>
          <w:p>
            <w:pPr>
              <w:adjustRightInd w:val="0"/>
              <w:snapToGrid w:val="0"/>
              <w:spacing w:line="340" w:lineRule="exact"/>
              <w:jc w:val="center"/>
              <w:rPr>
                <w:rFonts w:ascii="仿宋" w:hAnsi="仿宋" w:eastAsia="仿宋" w:cs="仿宋"/>
                <w:color w:val="auto"/>
                <w:sz w:val="22"/>
                <w:szCs w:val="22"/>
              </w:rPr>
            </w:pPr>
            <w:r>
              <w:rPr>
                <w:rFonts w:ascii="仿宋" w:hAnsi="仿宋" w:eastAsia="仿宋" w:cs="仿宋"/>
                <w:color w:val="auto"/>
                <w:sz w:val="22"/>
                <w:szCs w:val="22"/>
              </w:rPr>
              <w:t>20</w:t>
            </w:r>
          </w:p>
        </w:tc>
        <w:tc>
          <w:tcPr>
            <w:tcW w:w="5291" w:type="dxa"/>
            <w:vAlign w:val="center"/>
          </w:tcPr>
          <w:p>
            <w:pPr>
              <w:adjustRightInd w:val="0"/>
              <w:snapToGrid w:val="0"/>
              <w:spacing w:line="340" w:lineRule="exact"/>
              <w:rPr>
                <w:rFonts w:ascii="仿宋" w:hAnsi="仿宋" w:eastAsia="仿宋" w:cs="仿宋"/>
                <w:color w:val="auto"/>
                <w:sz w:val="22"/>
                <w:szCs w:val="22"/>
              </w:rPr>
            </w:pPr>
            <w:r>
              <w:rPr>
                <w:rFonts w:hint="eastAsia" w:ascii="仿宋" w:hAnsi="仿宋" w:eastAsia="仿宋" w:cs="仿宋"/>
                <w:color w:val="auto"/>
                <w:sz w:val="22"/>
                <w:szCs w:val="22"/>
              </w:rPr>
              <w:t>服务企业数量（家）</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trPr>
        <w:tc>
          <w:tcPr>
            <w:tcW w:w="917" w:type="dxa"/>
            <w:vMerge w:val="continue"/>
            <w:vAlign w:val="center"/>
          </w:tcPr>
          <w:p>
            <w:pPr>
              <w:widowControl/>
              <w:jc w:val="left"/>
              <w:rPr>
                <w:rFonts w:ascii="黑体" w:hAnsi="黑体" w:eastAsia="黑体" w:cs="黑体"/>
                <w:bCs/>
                <w:color w:val="auto"/>
                <w:sz w:val="24"/>
                <w:szCs w:val="24"/>
              </w:rPr>
            </w:pPr>
          </w:p>
        </w:tc>
        <w:tc>
          <w:tcPr>
            <w:tcW w:w="533" w:type="dxa"/>
            <w:vMerge w:val="continue"/>
            <w:vAlign w:val="center"/>
          </w:tcPr>
          <w:p>
            <w:pPr>
              <w:widowControl/>
              <w:jc w:val="left"/>
              <w:rPr>
                <w:rFonts w:ascii="仿宋_GB2312" w:hAnsi="仿宋_GB2312" w:eastAsia="仿宋_GB2312" w:cs="仿宋_GB2312"/>
                <w:color w:val="auto"/>
                <w:sz w:val="24"/>
                <w:szCs w:val="24"/>
              </w:rPr>
            </w:pPr>
          </w:p>
        </w:tc>
        <w:tc>
          <w:tcPr>
            <w:tcW w:w="615" w:type="dxa"/>
            <w:vMerge w:val="continue"/>
            <w:vAlign w:val="center"/>
          </w:tcPr>
          <w:p>
            <w:pPr>
              <w:widowControl/>
              <w:jc w:val="left"/>
              <w:rPr>
                <w:rFonts w:ascii="仿宋" w:hAnsi="仿宋" w:eastAsia="仿宋" w:cs="仿宋"/>
                <w:color w:val="auto"/>
                <w:sz w:val="22"/>
                <w:szCs w:val="22"/>
              </w:rPr>
            </w:pPr>
          </w:p>
        </w:tc>
        <w:tc>
          <w:tcPr>
            <w:tcW w:w="519" w:type="dxa"/>
            <w:vAlign w:val="center"/>
          </w:tcPr>
          <w:p>
            <w:pPr>
              <w:adjustRightInd w:val="0"/>
              <w:snapToGrid w:val="0"/>
              <w:spacing w:line="340" w:lineRule="exact"/>
              <w:jc w:val="center"/>
              <w:rPr>
                <w:rFonts w:ascii="仿宋" w:hAnsi="仿宋" w:eastAsia="仿宋" w:cs="仿宋"/>
                <w:color w:val="auto"/>
                <w:sz w:val="22"/>
                <w:szCs w:val="22"/>
              </w:rPr>
            </w:pPr>
            <w:r>
              <w:rPr>
                <w:rFonts w:ascii="仿宋" w:hAnsi="仿宋" w:eastAsia="仿宋" w:cs="仿宋"/>
                <w:color w:val="auto"/>
                <w:sz w:val="22"/>
                <w:szCs w:val="22"/>
              </w:rPr>
              <w:t>21</w:t>
            </w:r>
          </w:p>
        </w:tc>
        <w:tc>
          <w:tcPr>
            <w:tcW w:w="5291" w:type="dxa"/>
            <w:vAlign w:val="center"/>
          </w:tcPr>
          <w:p>
            <w:pPr>
              <w:adjustRightInd w:val="0"/>
              <w:snapToGrid w:val="0"/>
              <w:spacing w:line="340" w:lineRule="exact"/>
              <w:rPr>
                <w:rFonts w:ascii="仿宋" w:hAnsi="仿宋" w:eastAsia="仿宋" w:cs="仿宋"/>
                <w:color w:val="auto"/>
                <w:sz w:val="22"/>
                <w:szCs w:val="22"/>
              </w:rPr>
            </w:pPr>
            <w:r>
              <w:rPr>
                <w:rFonts w:hint="eastAsia" w:ascii="仿宋" w:hAnsi="仿宋" w:eastAsia="仿宋" w:cs="仿宋"/>
                <w:color w:val="auto"/>
                <w:sz w:val="22"/>
                <w:szCs w:val="22"/>
              </w:rPr>
              <w:t>解决企业需求（项）</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atLeast"/>
        </w:trPr>
        <w:tc>
          <w:tcPr>
            <w:tcW w:w="917" w:type="dxa"/>
            <w:vMerge w:val="continue"/>
            <w:vAlign w:val="center"/>
          </w:tcPr>
          <w:p>
            <w:pPr>
              <w:widowControl/>
              <w:jc w:val="left"/>
              <w:rPr>
                <w:rFonts w:ascii="黑体" w:hAnsi="黑体" w:eastAsia="黑体" w:cs="黑体"/>
                <w:bCs/>
                <w:color w:val="auto"/>
                <w:sz w:val="24"/>
                <w:szCs w:val="24"/>
              </w:rPr>
            </w:pPr>
          </w:p>
        </w:tc>
        <w:tc>
          <w:tcPr>
            <w:tcW w:w="533" w:type="dxa"/>
            <w:vMerge w:val="restart"/>
            <w:vAlign w:val="center"/>
          </w:tcPr>
          <w:p>
            <w:pPr>
              <w:jc w:val="center"/>
              <w:rPr>
                <w:rFonts w:ascii="黑体" w:hAnsi="黑体" w:eastAsia="黑体" w:cs="黑体"/>
                <w:bCs/>
                <w:color w:val="auto"/>
                <w:kern w:val="0"/>
                <w:sz w:val="24"/>
                <w:szCs w:val="24"/>
              </w:rPr>
            </w:pPr>
          </w:p>
          <w:p>
            <w:pPr>
              <w:jc w:val="center"/>
              <w:rPr>
                <w:rFonts w:ascii="黑体" w:hAnsi="黑体" w:eastAsia="黑体" w:cs="黑体"/>
                <w:bCs/>
                <w:color w:val="auto"/>
                <w:kern w:val="0"/>
                <w:sz w:val="24"/>
                <w:szCs w:val="24"/>
              </w:rPr>
            </w:pPr>
            <w:r>
              <w:rPr>
                <w:rFonts w:hint="eastAsia" w:ascii="黑体" w:hAnsi="黑体" w:eastAsia="黑体" w:cs="黑体"/>
                <w:bCs/>
                <w:color w:val="auto"/>
                <w:kern w:val="0"/>
                <w:sz w:val="24"/>
                <w:szCs w:val="24"/>
              </w:rPr>
              <w:t>技术转移服务人才</w:t>
            </w:r>
          </w:p>
        </w:tc>
        <w:tc>
          <w:tcPr>
            <w:tcW w:w="615" w:type="dxa"/>
            <w:vMerge w:val="restart"/>
            <w:vAlign w:val="center"/>
          </w:tcPr>
          <w:p>
            <w:pPr>
              <w:spacing w:line="360" w:lineRule="auto"/>
              <w:jc w:val="center"/>
              <w:rPr>
                <w:rFonts w:ascii="仿宋" w:hAnsi="仿宋" w:eastAsia="仿宋" w:cs="仿宋"/>
                <w:color w:val="auto"/>
                <w:sz w:val="22"/>
                <w:szCs w:val="22"/>
              </w:rPr>
            </w:pPr>
            <w:r>
              <w:rPr>
                <w:rFonts w:ascii="仿宋" w:hAnsi="仿宋" w:eastAsia="仿宋" w:cs="仿宋"/>
                <w:color w:val="auto"/>
                <w:sz w:val="22"/>
                <w:szCs w:val="22"/>
              </w:rPr>
              <w:t>8%</w:t>
            </w:r>
          </w:p>
        </w:tc>
        <w:tc>
          <w:tcPr>
            <w:tcW w:w="519" w:type="dxa"/>
            <w:vAlign w:val="center"/>
          </w:tcPr>
          <w:p>
            <w:pPr>
              <w:adjustRightInd w:val="0"/>
              <w:snapToGrid w:val="0"/>
              <w:spacing w:line="340" w:lineRule="exact"/>
              <w:jc w:val="center"/>
              <w:rPr>
                <w:rFonts w:ascii="仿宋" w:hAnsi="仿宋" w:eastAsia="仿宋" w:cs="仿宋"/>
                <w:color w:val="auto"/>
                <w:sz w:val="22"/>
                <w:szCs w:val="22"/>
              </w:rPr>
            </w:pPr>
            <w:r>
              <w:rPr>
                <w:rFonts w:ascii="仿宋" w:hAnsi="仿宋" w:eastAsia="仿宋" w:cs="仿宋"/>
                <w:color w:val="auto"/>
                <w:sz w:val="22"/>
                <w:szCs w:val="22"/>
              </w:rPr>
              <w:t>22</w:t>
            </w:r>
          </w:p>
        </w:tc>
        <w:tc>
          <w:tcPr>
            <w:tcW w:w="5291" w:type="dxa"/>
            <w:vAlign w:val="center"/>
          </w:tcPr>
          <w:p>
            <w:pPr>
              <w:rPr>
                <w:rFonts w:ascii="仿宋" w:hAnsi="仿宋" w:eastAsia="仿宋" w:cs="仿宋"/>
                <w:color w:val="auto"/>
                <w:sz w:val="22"/>
                <w:szCs w:val="22"/>
              </w:rPr>
            </w:pPr>
            <w:r>
              <w:rPr>
                <w:rFonts w:hint="eastAsia" w:ascii="仿宋" w:hAnsi="仿宋" w:eastAsia="仿宋" w:cs="仿宋"/>
                <w:color w:val="auto"/>
                <w:sz w:val="22"/>
                <w:szCs w:val="22"/>
              </w:rPr>
              <w:t>技术转移服务从业人员总人数</w:t>
            </w:r>
            <w:r>
              <w:rPr>
                <w:rFonts w:ascii="仿宋" w:hAnsi="仿宋" w:eastAsia="仿宋" w:cs="仿宋"/>
                <w:color w:val="auto"/>
                <w:sz w:val="22"/>
                <w:szCs w:val="22"/>
              </w:rPr>
              <w:t>(</w:t>
            </w:r>
            <w:r>
              <w:rPr>
                <w:rFonts w:hint="eastAsia" w:ascii="仿宋" w:hAnsi="仿宋" w:eastAsia="仿宋" w:cs="仿宋"/>
                <w:color w:val="auto"/>
                <w:sz w:val="22"/>
                <w:szCs w:val="22"/>
              </w:rPr>
              <w:t>人</w:t>
            </w:r>
            <w:r>
              <w:rPr>
                <w:rFonts w:ascii="仿宋" w:hAnsi="仿宋" w:eastAsia="仿宋" w:cs="仿宋"/>
                <w:color w:val="auto"/>
                <w:sz w:val="22"/>
                <w:szCs w:val="22"/>
              </w:rPr>
              <w:t>)</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917" w:type="dxa"/>
            <w:vMerge w:val="continue"/>
            <w:vAlign w:val="center"/>
          </w:tcPr>
          <w:p>
            <w:pPr>
              <w:widowControl/>
              <w:jc w:val="left"/>
              <w:rPr>
                <w:rFonts w:ascii="黑体" w:hAnsi="黑体" w:eastAsia="黑体" w:cs="黑体"/>
                <w:bCs/>
                <w:color w:val="auto"/>
                <w:sz w:val="24"/>
                <w:szCs w:val="24"/>
              </w:rPr>
            </w:pPr>
          </w:p>
        </w:tc>
        <w:tc>
          <w:tcPr>
            <w:tcW w:w="533" w:type="dxa"/>
            <w:vMerge w:val="continue"/>
            <w:vAlign w:val="center"/>
          </w:tcPr>
          <w:p>
            <w:pPr>
              <w:widowControl/>
              <w:jc w:val="left"/>
              <w:rPr>
                <w:rFonts w:ascii="黑体" w:hAnsi="黑体" w:eastAsia="黑体" w:cs="黑体"/>
                <w:bCs/>
                <w:color w:val="auto"/>
                <w:kern w:val="0"/>
                <w:sz w:val="24"/>
                <w:szCs w:val="24"/>
              </w:rPr>
            </w:pPr>
          </w:p>
        </w:tc>
        <w:tc>
          <w:tcPr>
            <w:tcW w:w="615" w:type="dxa"/>
            <w:vMerge w:val="continue"/>
            <w:vAlign w:val="center"/>
          </w:tcPr>
          <w:p>
            <w:pPr>
              <w:widowControl/>
              <w:jc w:val="left"/>
              <w:rPr>
                <w:rFonts w:ascii="仿宋" w:hAnsi="仿宋" w:eastAsia="仿宋" w:cs="仿宋"/>
                <w:color w:val="auto"/>
                <w:sz w:val="22"/>
                <w:szCs w:val="22"/>
              </w:rPr>
            </w:pPr>
          </w:p>
        </w:tc>
        <w:tc>
          <w:tcPr>
            <w:tcW w:w="519" w:type="dxa"/>
            <w:vAlign w:val="center"/>
          </w:tcPr>
          <w:p>
            <w:pPr>
              <w:adjustRightInd w:val="0"/>
              <w:snapToGrid w:val="0"/>
              <w:spacing w:line="340" w:lineRule="exact"/>
              <w:jc w:val="center"/>
              <w:rPr>
                <w:rFonts w:ascii="仿宋" w:hAnsi="仿宋" w:eastAsia="仿宋" w:cs="仿宋"/>
                <w:color w:val="auto"/>
                <w:sz w:val="22"/>
                <w:szCs w:val="22"/>
              </w:rPr>
            </w:pPr>
            <w:r>
              <w:rPr>
                <w:rFonts w:ascii="仿宋" w:hAnsi="仿宋" w:eastAsia="仿宋" w:cs="仿宋"/>
                <w:color w:val="auto"/>
                <w:sz w:val="22"/>
                <w:szCs w:val="22"/>
              </w:rPr>
              <w:t>23</w:t>
            </w:r>
          </w:p>
        </w:tc>
        <w:tc>
          <w:tcPr>
            <w:tcW w:w="5291" w:type="dxa"/>
            <w:vAlign w:val="center"/>
          </w:tcPr>
          <w:p>
            <w:pPr>
              <w:rPr>
                <w:rFonts w:ascii="仿宋" w:hAnsi="仿宋" w:eastAsia="仿宋" w:cs="仿宋"/>
                <w:color w:val="auto"/>
                <w:sz w:val="22"/>
                <w:szCs w:val="22"/>
              </w:rPr>
            </w:pPr>
            <w:r>
              <w:rPr>
                <w:rFonts w:hint="eastAsia" w:ascii="仿宋" w:hAnsi="仿宋" w:eastAsia="仿宋" w:cs="仿宋"/>
                <w:color w:val="auto"/>
                <w:sz w:val="22"/>
                <w:szCs w:val="22"/>
              </w:rPr>
              <w:t>专职从业人员数量</w:t>
            </w:r>
            <w:r>
              <w:rPr>
                <w:rFonts w:ascii="仿宋" w:hAnsi="仿宋" w:eastAsia="仿宋" w:cs="仿宋"/>
                <w:color w:val="auto"/>
                <w:sz w:val="22"/>
                <w:szCs w:val="22"/>
              </w:rPr>
              <w:t>(</w:t>
            </w:r>
            <w:r>
              <w:rPr>
                <w:rFonts w:hint="eastAsia" w:ascii="仿宋" w:hAnsi="仿宋" w:eastAsia="仿宋" w:cs="仿宋"/>
                <w:color w:val="auto"/>
                <w:sz w:val="22"/>
                <w:szCs w:val="22"/>
              </w:rPr>
              <w:t>人</w:t>
            </w:r>
            <w:r>
              <w:rPr>
                <w:rFonts w:ascii="仿宋" w:hAnsi="仿宋" w:eastAsia="仿宋" w:cs="仿宋"/>
                <w:color w:val="auto"/>
                <w:sz w:val="22"/>
                <w:szCs w:val="22"/>
              </w:rPr>
              <w:t>)</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917" w:type="dxa"/>
            <w:vMerge w:val="continue"/>
            <w:vAlign w:val="center"/>
          </w:tcPr>
          <w:p>
            <w:pPr>
              <w:widowControl/>
              <w:jc w:val="left"/>
              <w:rPr>
                <w:rFonts w:ascii="黑体" w:hAnsi="黑体" w:eastAsia="黑体" w:cs="黑体"/>
                <w:bCs/>
                <w:color w:val="auto"/>
                <w:sz w:val="24"/>
                <w:szCs w:val="24"/>
              </w:rPr>
            </w:pPr>
          </w:p>
        </w:tc>
        <w:tc>
          <w:tcPr>
            <w:tcW w:w="533" w:type="dxa"/>
            <w:vMerge w:val="continue"/>
            <w:vAlign w:val="center"/>
          </w:tcPr>
          <w:p>
            <w:pPr>
              <w:widowControl/>
              <w:jc w:val="left"/>
              <w:rPr>
                <w:rFonts w:ascii="黑体" w:hAnsi="黑体" w:eastAsia="黑体" w:cs="黑体"/>
                <w:bCs/>
                <w:color w:val="auto"/>
                <w:kern w:val="0"/>
                <w:sz w:val="24"/>
                <w:szCs w:val="24"/>
              </w:rPr>
            </w:pPr>
          </w:p>
        </w:tc>
        <w:tc>
          <w:tcPr>
            <w:tcW w:w="615" w:type="dxa"/>
            <w:vMerge w:val="continue"/>
            <w:vAlign w:val="center"/>
          </w:tcPr>
          <w:p>
            <w:pPr>
              <w:widowControl/>
              <w:jc w:val="left"/>
              <w:rPr>
                <w:rFonts w:ascii="仿宋" w:hAnsi="仿宋" w:eastAsia="仿宋" w:cs="仿宋"/>
                <w:color w:val="auto"/>
                <w:sz w:val="22"/>
                <w:szCs w:val="22"/>
              </w:rPr>
            </w:pPr>
          </w:p>
        </w:tc>
        <w:tc>
          <w:tcPr>
            <w:tcW w:w="519" w:type="dxa"/>
            <w:vAlign w:val="center"/>
          </w:tcPr>
          <w:p>
            <w:pPr>
              <w:adjustRightInd w:val="0"/>
              <w:snapToGrid w:val="0"/>
              <w:spacing w:line="340" w:lineRule="exact"/>
              <w:jc w:val="center"/>
              <w:rPr>
                <w:rFonts w:ascii="仿宋" w:hAnsi="仿宋" w:eastAsia="仿宋" w:cs="仿宋"/>
                <w:color w:val="auto"/>
                <w:sz w:val="22"/>
                <w:szCs w:val="22"/>
              </w:rPr>
            </w:pPr>
            <w:r>
              <w:rPr>
                <w:rFonts w:ascii="仿宋" w:hAnsi="仿宋" w:eastAsia="仿宋" w:cs="仿宋"/>
                <w:color w:val="auto"/>
                <w:sz w:val="22"/>
                <w:szCs w:val="22"/>
              </w:rPr>
              <w:t>24</w:t>
            </w:r>
          </w:p>
        </w:tc>
        <w:tc>
          <w:tcPr>
            <w:tcW w:w="5291" w:type="dxa"/>
            <w:vAlign w:val="center"/>
          </w:tcPr>
          <w:p>
            <w:pPr>
              <w:rPr>
                <w:rFonts w:ascii="仿宋" w:hAnsi="仿宋" w:eastAsia="仿宋" w:cs="仿宋"/>
                <w:color w:val="auto"/>
                <w:sz w:val="22"/>
                <w:szCs w:val="22"/>
              </w:rPr>
            </w:pPr>
            <w:r>
              <w:rPr>
                <w:rFonts w:hint="eastAsia" w:ascii="仿宋" w:hAnsi="仿宋" w:eastAsia="仿宋" w:cs="仿宋"/>
                <w:color w:val="auto"/>
                <w:sz w:val="22"/>
                <w:szCs w:val="22"/>
              </w:rPr>
              <w:t>专职从业人员数量占总从业人员比重</w:t>
            </w:r>
            <w:r>
              <w:rPr>
                <w:rFonts w:ascii="仿宋" w:hAnsi="仿宋" w:eastAsia="仿宋" w:cs="仿宋"/>
                <w:color w:val="auto"/>
                <w:sz w:val="22"/>
                <w:szCs w:val="22"/>
              </w:rPr>
              <w:t>(%)</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trPr>
        <w:tc>
          <w:tcPr>
            <w:tcW w:w="917" w:type="dxa"/>
            <w:vMerge w:val="continue"/>
            <w:vAlign w:val="center"/>
          </w:tcPr>
          <w:p>
            <w:pPr>
              <w:widowControl/>
              <w:jc w:val="left"/>
              <w:rPr>
                <w:rFonts w:ascii="黑体" w:hAnsi="黑体" w:eastAsia="黑体" w:cs="黑体"/>
                <w:bCs/>
                <w:color w:val="auto"/>
                <w:sz w:val="24"/>
                <w:szCs w:val="24"/>
              </w:rPr>
            </w:pPr>
          </w:p>
        </w:tc>
        <w:tc>
          <w:tcPr>
            <w:tcW w:w="533" w:type="dxa"/>
            <w:vMerge w:val="continue"/>
            <w:vAlign w:val="center"/>
          </w:tcPr>
          <w:p>
            <w:pPr>
              <w:widowControl/>
              <w:jc w:val="left"/>
              <w:rPr>
                <w:rFonts w:ascii="黑体" w:hAnsi="黑体" w:eastAsia="黑体" w:cs="黑体"/>
                <w:bCs/>
                <w:color w:val="auto"/>
                <w:kern w:val="0"/>
                <w:sz w:val="24"/>
                <w:szCs w:val="24"/>
              </w:rPr>
            </w:pPr>
          </w:p>
        </w:tc>
        <w:tc>
          <w:tcPr>
            <w:tcW w:w="615" w:type="dxa"/>
            <w:vMerge w:val="continue"/>
            <w:vAlign w:val="center"/>
          </w:tcPr>
          <w:p>
            <w:pPr>
              <w:widowControl/>
              <w:jc w:val="left"/>
              <w:rPr>
                <w:rFonts w:ascii="仿宋" w:hAnsi="仿宋" w:eastAsia="仿宋" w:cs="仿宋"/>
                <w:color w:val="auto"/>
                <w:sz w:val="22"/>
                <w:szCs w:val="22"/>
              </w:rPr>
            </w:pPr>
          </w:p>
        </w:tc>
        <w:tc>
          <w:tcPr>
            <w:tcW w:w="519" w:type="dxa"/>
            <w:vAlign w:val="center"/>
          </w:tcPr>
          <w:p>
            <w:pPr>
              <w:adjustRightInd w:val="0"/>
              <w:snapToGrid w:val="0"/>
              <w:spacing w:line="340" w:lineRule="exact"/>
              <w:jc w:val="center"/>
              <w:rPr>
                <w:rFonts w:ascii="仿宋" w:hAnsi="仿宋" w:eastAsia="仿宋" w:cs="仿宋"/>
                <w:color w:val="auto"/>
                <w:sz w:val="22"/>
                <w:szCs w:val="22"/>
              </w:rPr>
            </w:pPr>
            <w:r>
              <w:rPr>
                <w:rFonts w:ascii="仿宋" w:hAnsi="仿宋" w:eastAsia="仿宋" w:cs="仿宋"/>
                <w:color w:val="auto"/>
                <w:sz w:val="22"/>
                <w:szCs w:val="22"/>
              </w:rPr>
              <w:t>25</w:t>
            </w:r>
          </w:p>
        </w:tc>
        <w:tc>
          <w:tcPr>
            <w:tcW w:w="5291" w:type="dxa"/>
            <w:vAlign w:val="center"/>
          </w:tcPr>
          <w:p>
            <w:pPr>
              <w:rPr>
                <w:rFonts w:ascii="仿宋" w:hAnsi="仿宋" w:eastAsia="仿宋" w:cs="仿宋"/>
                <w:color w:val="auto"/>
                <w:sz w:val="22"/>
                <w:szCs w:val="22"/>
              </w:rPr>
            </w:pPr>
            <w:r>
              <w:rPr>
                <w:rFonts w:hint="eastAsia" w:ascii="仿宋" w:hAnsi="仿宋" w:eastAsia="仿宋" w:cs="仿宋"/>
                <w:color w:val="auto"/>
                <w:sz w:val="22"/>
                <w:szCs w:val="22"/>
              </w:rPr>
              <w:t>技术经纪人（人）</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917" w:type="dxa"/>
            <w:vMerge w:val="continue"/>
            <w:vAlign w:val="center"/>
          </w:tcPr>
          <w:p>
            <w:pPr>
              <w:widowControl/>
              <w:jc w:val="left"/>
              <w:rPr>
                <w:rFonts w:ascii="黑体" w:hAnsi="黑体" w:eastAsia="黑体" w:cs="黑体"/>
                <w:bCs/>
                <w:color w:val="auto"/>
                <w:sz w:val="24"/>
                <w:szCs w:val="24"/>
              </w:rPr>
            </w:pPr>
          </w:p>
        </w:tc>
        <w:tc>
          <w:tcPr>
            <w:tcW w:w="533" w:type="dxa"/>
            <w:vMerge w:val="continue"/>
            <w:vAlign w:val="center"/>
          </w:tcPr>
          <w:p>
            <w:pPr>
              <w:widowControl/>
              <w:jc w:val="left"/>
              <w:rPr>
                <w:rFonts w:ascii="黑体" w:hAnsi="黑体" w:eastAsia="黑体" w:cs="黑体"/>
                <w:bCs/>
                <w:color w:val="auto"/>
                <w:kern w:val="0"/>
                <w:sz w:val="24"/>
                <w:szCs w:val="24"/>
              </w:rPr>
            </w:pPr>
          </w:p>
        </w:tc>
        <w:tc>
          <w:tcPr>
            <w:tcW w:w="615" w:type="dxa"/>
            <w:vMerge w:val="continue"/>
            <w:vAlign w:val="center"/>
          </w:tcPr>
          <w:p>
            <w:pPr>
              <w:widowControl/>
              <w:jc w:val="left"/>
              <w:rPr>
                <w:rFonts w:ascii="仿宋" w:hAnsi="仿宋" w:eastAsia="仿宋" w:cs="仿宋"/>
                <w:color w:val="auto"/>
                <w:sz w:val="22"/>
                <w:szCs w:val="22"/>
              </w:rPr>
            </w:pPr>
          </w:p>
        </w:tc>
        <w:tc>
          <w:tcPr>
            <w:tcW w:w="519" w:type="dxa"/>
            <w:vAlign w:val="center"/>
          </w:tcPr>
          <w:p>
            <w:pPr>
              <w:adjustRightInd w:val="0"/>
              <w:snapToGrid w:val="0"/>
              <w:spacing w:line="340" w:lineRule="exact"/>
              <w:jc w:val="center"/>
              <w:rPr>
                <w:rFonts w:ascii="仿宋" w:hAnsi="仿宋" w:eastAsia="仿宋" w:cs="仿宋"/>
                <w:color w:val="auto"/>
                <w:sz w:val="22"/>
                <w:szCs w:val="22"/>
              </w:rPr>
            </w:pPr>
            <w:r>
              <w:rPr>
                <w:rFonts w:ascii="仿宋" w:hAnsi="仿宋" w:eastAsia="仿宋" w:cs="仿宋"/>
                <w:color w:val="auto"/>
                <w:sz w:val="22"/>
                <w:szCs w:val="22"/>
              </w:rPr>
              <w:t>26</w:t>
            </w:r>
          </w:p>
        </w:tc>
        <w:tc>
          <w:tcPr>
            <w:tcW w:w="5291" w:type="dxa"/>
            <w:vAlign w:val="center"/>
          </w:tcPr>
          <w:p>
            <w:pPr>
              <w:rPr>
                <w:rFonts w:ascii="仿宋" w:hAnsi="仿宋" w:eastAsia="仿宋" w:cs="仿宋"/>
                <w:color w:val="auto"/>
                <w:sz w:val="22"/>
                <w:szCs w:val="22"/>
              </w:rPr>
            </w:pPr>
            <w:r>
              <w:rPr>
                <w:rFonts w:hint="eastAsia" w:ascii="仿宋" w:hAnsi="仿宋" w:eastAsia="仿宋" w:cs="仿宋"/>
                <w:color w:val="auto"/>
                <w:sz w:val="22"/>
                <w:szCs w:val="22"/>
              </w:rPr>
              <w:t>技术经纪人占总从业人员比重（</w:t>
            </w:r>
            <w:r>
              <w:rPr>
                <w:rFonts w:ascii="仿宋" w:hAnsi="仿宋" w:eastAsia="仿宋" w:cs="仿宋"/>
                <w:color w:val="auto"/>
                <w:sz w:val="22"/>
                <w:szCs w:val="22"/>
              </w:rPr>
              <w:t>%</w:t>
            </w:r>
            <w:r>
              <w:rPr>
                <w:rFonts w:hint="eastAsia" w:ascii="仿宋" w:hAnsi="仿宋" w:eastAsia="仿宋" w:cs="仿宋"/>
                <w:color w:val="auto"/>
                <w:sz w:val="22"/>
                <w:szCs w:val="22"/>
              </w:rPr>
              <w:t>）</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trPr>
        <w:tc>
          <w:tcPr>
            <w:tcW w:w="917" w:type="dxa"/>
            <w:vMerge w:val="restart"/>
            <w:vAlign w:val="center"/>
          </w:tcPr>
          <w:p>
            <w:pPr>
              <w:jc w:val="center"/>
              <w:rPr>
                <w:rFonts w:ascii="黑体" w:hAnsi="黑体" w:eastAsia="黑体" w:cs="黑体"/>
                <w:bCs/>
                <w:color w:val="auto"/>
                <w:sz w:val="24"/>
                <w:szCs w:val="24"/>
              </w:rPr>
            </w:pPr>
            <w:r>
              <w:rPr>
                <w:rFonts w:hint="eastAsia" w:ascii="黑体" w:hAnsi="黑体" w:eastAsia="黑体" w:cs="黑体"/>
                <w:bCs/>
                <w:color w:val="auto"/>
                <w:sz w:val="24"/>
                <w:szCs w:val="24"/>
              </w:rPr>
              <w:t>定</w:t>
            </w:r>
          </w:p>
          <w:p>
            <w:pPr>
              <w:jc w:val="center"/>
              <w:rPr>
                <w:rFonts w:ascii="黑体" w:hAnsi="黑体" w:eastAsia="黑体" w:cs="黑体"/>
                <w:bCs/>
                <w:color w:val="auto"/>
                <w:sz w:val="24"/>
                <w:szCs w:val="24"/>
              </w:rPr>
            </w:pPr>
            <w:r>
              <w:rPr>
                <w:rFonts w:hint="eastAsia" w:ascii="黑体" w:hAnsi="黑体" w:eastAsia="黑体" w:cs="黑体"/>
                <w:bCs/>
                <w:color w:val="auto"/>
                <w:sz w:val="24"/>
                <w:szCs w:val="24"/>
              </w:rPr>
              <w:t>性</w:t>
            </w:r>
          </w:p>
          <w:p>
            <w:pPr>
              <w:jc w:val="center"/>
              <w:rPr>
                <w:rFonts w:ascii="黑体" w:hAnsi="黑体" w:eastAsia="黑体" w:cs="黑体"/>
                <w:bCs/>
                <w:color w:val="auto"/>
                <w:sz w:val="24"/>
                <w:szCs w:val="24"/>
              </w:rPr>
            </w:pPr>
            <w:r>
              <w:rPr>
                <w:rFonts w:hint="eastAsia" w:ascii="黑体" w:hAnsi="黑体" w:eastAsia="黑体" w:cs="黑体"/>
                <w:bCs/>
                <w:color w:val="auto"/>
                <w:sz w:val="24"/>
                <w:szCs w:val="24"/>
              </w:rPr>
              <w:t>指</w:t>
            </w:r>
          </w:p>
          <w:p>
            <w:pPr>
              <w:jc w:val="center"/>
              <w:rPr>
                <w:rFonts w:ascii="黑体" w:hAnsi="黑体" w:eastAsia="黑体" w:cs="黑体"/>
                <w:bCs/>
                <w:color w:val="auto"/>
                <w:sz w:val="24"/>
                <w:szCs w:val="24"/>
              </w:rPr>
            </w:pPr>
            <w:r>
              <w:rPr>
                <w:rFonts w:hint="eastAsia" w:ascii="黑体" w:hAnsi="黑体" w:eastAsia="黑体" w:cs="黑体"/>
                <w:bCs/>
                <w:color w:val="auto"/>
                <w:sz w:val="24"/>
                <w:szCs w:val="24"/>
              </w:rPr>
              <w:t>标</w:t>
            </w:r>
          </w:p>
        </w:tc>
        <w:tc>
          <w:tcPr>
            <w:tcW w:w="533" w:type="dxa"/>
            <w:vMerge w:val="restart"/>
            <w:vAlign w:val="center"/>
          </w:tcPr>
          <w:p>
            <w:pPr>
              <w:jc w:val="center"/>
              <w:rPr>
                <w:rFonts w:ascii="黑体" w:hAnsi="黑体" w:eastAsia="黑体" w:cs="黑体"/>
                <w:bCs/>
                <w:color w:val="auto"/>
                <w:sz w:val="24"/>
                <w:szCs w:val="24"/>
              </w:rPr>
            </w:pPr>
            <w:r>
              <w:rPr>
                <w:rFonts w:hint="eastAsia" w:ascii="黑体" w:hAnsi="黑体" w:eastAsia="黑体" w:cs="黑体"/>
                <w:bCs/>
                <w:color w:val="auto"/>
                <w:sz w:val="24"/>
                <w:szCs w:val="24"/>
              </w:rPr>
              <w:t>工作</w:t>
            </w:r>
          </w:p>
          <w:p>
            <w:pPr>
              <w:jc w:val="center"/>
              <w:rPr>
                <w:rFonts w:ascii="仿宋_GB2312" w:hAnsi="仿宋_GB2312" w:eastAsia="仿宋_GB2312" w:cs="仿宋_GB2312"/>
                <w:color w:val="auto"/>
                <w:sz w:val="24"/>
                <w:szCs w:val="24"/>
              </w:rPr>
            </w:pPr>
            <w:r>
              <w:rPr>
                <w:rFonts w:hint="eastAsia" w:ascii="黑体" w:hAnsi="黑体" w:eastAsia="黑体" w:cs="黑体"/>
                <w:color w:val="auto"/>
                <w:sz w:val="24"/>
                <w:szCs w:val="24"/>
              </w:rPr>
              <w:t>开展</w:t>
            </w:r>
          </w:p>
        </w:tc>
        <w:tc>
          <w:tcPr>
            <w:tcW w:w="615" w:type="dxa"/>
            <w:vMerge w:val="restart"/>
            <w:vAlign w:val="center"/>
          </w:tcPr>
          <w:p>
            <w:pPr>
              <w:jc w:val="center"/>
              <w:rPr>
                <w:rFonts w:ascii="仿宋" w:hAnsi="仿宋" w:eastAsia="仿宋" w:cs="仿宋"/>
                <w:color w:val="auto"/>
                <w:sz w:val="22"/>
                <w:szCs w:val="22"/>
              </w:rPr>
            </w:pPr>
            <w:r>
              <w:rPr>
                <w:rFonts w:ascii="仿宋" w:hAnsi="仿宋" w:eastAsia="仿宋" w:cs="仿宋"/>
                <w:color w:val="auto"/>
                <w:sz w:val="22"/>
                <w:szCs w:val="22"/>
              </w:rPr>
              <w:t>20%</w:t>
            </w:r>
          </w:p>
        </w:tc>
        <w:tc>
          <w:tcPr>
            <w:tcW w:w="519" w:type="dxa"/>
            <w:vAlign w:val="center"/>
          </w:tcPr>
          <w:p>
            <w:pPr>
              <w:adjustRightInd w:val="0"/>
              <w:snapToGrid w:val="0"/>
              <w:spacing w:line="340" w:lineRule="exact"/>
              <w:jc w:val="center"/>
              <w:rPr>
                <w:rFonts w:ascii="仿宋" w:hAnsi="仿宋" w:eastAsia="仿宋" w:cs="仿宋"/>
                <w:color w:val="auto"/>
                <w:sz w:val="22"/>
                <w:szCs w:val="22"/>
              </w:rPr>
            </w:pPr>
            <w:r>
              <w:rPr>
                <w:rFonts w:ascii="仿宋" w:hAnsi="仿宋" w:eastAsia="仿宋" w:cs="仿宋"/>
                <w:color w:val="auto"/>
                <w:sz w:val="22"/>
                <w:szCs w:val="22"/>
              </w:rPr>
              <w:t>27</w:t>
            </w:r>
          </w:p>
        </w:tc>
        <w:tc>
          <w:tcPr>
            <w:tcW w:w="5291" w:type="dxa"/>
            <w:vAlign w:val="center"/>
          </w:tcPr>
          <w:p>
            <w:pPr>
              <w:ind w:firstLine="440" w:firstLineChars="200"/>
              <w:rPr>
                <w:rFonts w:ascii="仿宋" w:hAnsi="仿宋" w:eastAsia="仿宋" w:cs="仿宋"/>
                <w:color w:val="auto"/>
                <w:sz w:val="22"/>
                <w:szCs w:val="22"/>
              </w:rPr>
            </w:pPr>
            <w:r>
              <w:rPr>
                <w:rFonts w:hint="eastAsia" w:ascii="仿宋" w:hAnsi="仿宋" w:eastAsia="仿宋" w:cs="仿宋"/>
                <w:color w:val="auto"/>
                <w:sz w:val="22"/>
                <w:szCs w:val="22"/>
              </w:rPr>
              <w:t>科技成果转移转化相关政策</w:t>
            </w:r>
            <w:r>
              <w:rPr>
                <w:rFonts w:hint="eastAsia" w:ascii="仿宋" w:hAnsi="仿宋" w:eastAsia="仿宋" w:cs="仿宋"/>
                <w:color w:val="auto"/>
                <w:sz w:val="22"/>
                <w:szCs w:val="22"/>
                <w:lang w:eastAsia="zh-CN"/>
              </w:rPr>
              <w:t>制定及落实</w:t>
            </w:r>
            <w:r>
              <w:rPr>
                <w:rFonts w:hint="eastAsia" w:ascii="仿宋" w:hAnsi="仿宋" w:eastAsia="仿宋" w:cs="仿宋"/>
                <w:color w:val="auto"/>
                <w:sz w:val="22"/>
                <w:szCs w:val="22"/>
              </w:rPr>
              <w:t>情况。</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trPr>
        <w:tc>
          <w:tcPr>
            <w:tcW w:w="917" w:type="dxa"/>
            <w:vMerge w:val="continue"/>
            <w:vAlign w:val="center"/>
          </w:tcPr>
          <w:p>
            <w:pPr>
              <w:widowControl/>
              <w:jc w:val="left"/>
              <w:rPr>
                <w:rFonts w:ascii="黑体" w:hAnsi="黑体" w:eastAsia="黑体" w:cs="黑体"/>
                <w:bCs/>
                <w:color w:val="auto"/>
                <w:sz w:val="24"/>
              </w:rPr>
            </w:pPr>
          </w:p>
        </w:tc>
        <w:tc>
          <w:tcPr>
            <w:tcW w:w="533" w:type="dxa"/>
            <w:vMerge w:val="continue"/>
            <w:vAlign w:val="center"/>
          </w:tcPr>
          <w:p>
            <w:pPr>
              <w:widowControl/>
              <w:jc w:val="left"/>
              <w:rPr>
                <w:rFonts w:ascii="仿宋_GB2312" w:hAnsi="仿宋_GB2312" w:eastAsia="仿宋_GB2312" w:cs="仿宋_GB2312"/>
                <w:color w:val="auto"/>
                <w:szCs w:val="21"/>
              </w:rPr>
            </w:pPr>
          </w:p>
        </w:tc>
        <w:tc>
          <w:tcPr>
            <w:tcW w:w="615" w:type="dxa"/>
            <w:vMerge w:val="continue"/>
            <w:vAlign w:val="center"/>
          </w:tcPr>
          <w:p>
            <w:pPr>
              <w:widowControl/>
              <w:jc w:val="left"/>
              <w:rPr>
                <w:rFonts w:ascii="仿宋" w:hAnsi="仿宋" w:eastAsia="仿宋" w:cs="仿宋"/>
                <w:color w:val="auto"/>
                <w:sz w:val="22"/>
                <w:szCs w:val="22"/>
              </w:rPr>
            </w:pPr>
          </w:p>
        </w:tc>
        <w:tc>
          <w:tcPr>
            <w:tcW w:w="519" w:type="dxa"/>
            <w:vAlign w:val="center"/>
          </w:tcPr>
          <w:p>
            <w:pPr>
              <w:adjustRightInd w:val="0"/>
              <w:snapToGrid w:val="0"/>
              <w:spacing w:line="340" w:lineRule="exact"/>
              <w:jc w:val="center"/>
              <w:rPr>
                <w:rFonts w:ascii="仿宋" w:hAnsi="仿宋" w:eastAsia="仿宋" w:cs="仿宋"/>
                <w:color w:val="auto"/>
                <w:sz w:val="22"/>
                <w:szCs w:val="22"/>
              </w:rPr>
            </w:pPr>
            <w:r>
              <w:rPr>
                <w:rFonts w:ascii="仿宋" w:hAnsi="仿宋" w:eastAsia="仿宋" w:cs="仿宋"/>
                <w:color w:val="auto"/>
                <w:sz w:val="22"/>
                <w:szCs w:val="22"/>
              </w:rPr>
              <w:t>28</w:t>
            </w:r>
          </w:p>
        </w:tc>
        <w:tc>
          <w:tcPr>
            <w:tcW w:w="5291" w:type="dxa"/>
            <w:vAlign w:val="center"/>
          </w:tcPr>
          <w:p>
            <w:pPr>
              <w:ind w:firstLine="440" w:firstLineChars="200"/>
              <w:rPr>
                <w:rFonts w:ascii="仿宋" w:hAnsi="仿宋" w:eastAsia="仿宋" w:cs="仿宋"/>
                <w:color w:val="auto"/>
                <w:sz w:val="22"/>
                <w:szCs w:val="22"/>
              </w:rPr>
            </w:pPr>
            <w:r>
              <w:rPr>
                <w:rFonts w:hint="eastAsia" w:ascii="仿宋" w:hAnsi="仿宋" w:eastAsia="仿宋" w:cs="仿宋"/>
                <w:color w:val="auto"/>
                <w:sz w:val="22"/>
                <w:szCs w:val="22"/>
              </w:rPr>
              <w:t>专门的科技成果转移转化管理机构建设情况。介绍科技成果转移转化管理机构名称（与公章一致），是否为独立机构，机构单位性质，是否有健全的管理体系。</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trPr>
        <w:tc>
          <w:tcPr>
            <w:tcW w:w="917" w:type="dxa"/>
            <w:vMerge w:val="continue"/>
            <w:vAlign w:val="center"/>
          </w:tcPr>
          <w:p>
            <w:pPr>
              <w:widowControl/>
              <w:jc w:val="left"/>
              <w:rPr>
                <w:rFonts w:ascii="黑体" w:hAnsi="黑体" w:eastAsia="黑体" w:cs="黑体"/>
                <w:bCs/>
                <w:color w:val="auto"/>
                <w:sz w:val="24"/>
              </w:rPr>
            </w:pPr>
          </w:p>
        </w:tc>
        <w:tc>
          <w:tcPr>
            <w:tcW w:w="533" w:type="dxa"/>
            <w:vMerge w:val="continue"/>
            <w:vAlign w:val="center"/>
          </w:tcPr>
          <w:p>
            <w:pPr>
              <w:widowControl/>
              <w:jc w:val="left"/>
              <w:rPr>
                <w:rFonts w:ascii="仿宋_GB2312" w:hAnsi="仿宋_GB2312" w:eastAsia="仿宋_GB2312" w:cs="仿宋_GB2312"/>
                <w:color w:val="auto"/>
                <w:szCs w:val="21"/>
              </w:rPr>
            </w:pPr>
          </w:p>
        </w:tc>
        <w:tc>
          <w:tcPr>
            <w:tcW w:w="615" w:type="dxa"/>
            <w:vMerge w:val="continue"/>
            <w:vAlign w:val="center"/>
          </w:tcPr>
          <w:p>
            <w:pPr>
              <w:widowControl/>
              <w:jc w:val="left"/>
              <w:rPr>
                <w:rFonts w:ascii="仿宋" w:hAnsi="仿宋" w:eastAsia="仿宋" w:cs="仿宋"/>
                <w:color w:val="auto"/>
                <w:sz w:val="22"/>
                <w:szCs w:val="22"/>
              </w:rPr>
            </w:pPr>
          </w:p>
        </w:tc>
        <w:tc>
          <w:tcPr>
            <w:tcW w:w="519" w:type="dxa"/>
            <w:vAlign w:val="center"/>
          </w:tcPr>
          <w:p>
            <w:pPr>
              <w:adjustRightInd w:val="0"/>
              <w:snapToGrid w:val="0"/>
              <w:spacing w:line="340" w:lineRule="exact"/>
              <w:jc w:val="center"/>
              <w:rPr>
                <w:rFonts w:ascii="仿宋" w:hAnsi="仿宋" w:eastAsia="仿宋" w:cs="仿宋"/>
                <w:color w:val="auto"/>
                <w:sz w:val="22"/>
                <w:szCs w:val="22"/>
              </w:rPr>
            </w:pPr>
            <w:r>
              <w:rPr>
                <w:rFonts w:ascii="仿宋" w:hAnsi="仿宋" w:eastAsia="仿宋" w:cs="仿宋"/>
                <w:color w:val="auto"/>
                <w:sz w:val="22"/>
                <w:szCs w:val="22"/>
              </w:rPr>
              <w:t>29</w:t>
            </w:r>
          </w:p>
        </w:tc>
        <w:tc>
          <w:tcPr>
            <w:tcW w:w="5291" w:type="dxa"/>
            <w:vAlign w:val="center"/>
          </w:tcPr>
          <w:p>
            <w:pPr>
              <w:ind w:firstLine="440" w:firstLineChars="200"/>
              <w:rPr>
                <w:rFonts w:ascii="仿宋" w:hAnsi="仿宋" w:eastAsia="仿宋" w:cs="仿宋"/>
                <w:color w:val="auto"/>
                <w:sz w:val="22"/>
                <w:szCs w:val="22"/>
              </w:rPr>
            </w:pPr>
            <w:r>
              <w:rPr>
                <w:rFonts w:hint="eastAsia" w:ascii="仿宋" w:hAnsi="仿宋" w:eastAsia="仿宋" w:cs="仿宋"/>
                <w:color w:val="auto"/>
                <w:sz w:val="22"/>
                <w:szCs w:val="22"/>
              </w:rPr>
              <w:t>重大科技成果转移转化项目和产学研合作的典型案例。包括本地区产生重大经济社会效益的转移转化项目及举办的产学研合作项目对接活动、推进建设的产业技术创新战略联盟等。描述主要内容和成效。</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17" w:type="dxa"/>
            <w:vMerge w:val="continue"/>
            <w:vAlign w:val="center"/>
          </w:tcPr>
          <w:p>
            <w:pPr>
              <w:widowControl/>
              <w:jc w:val="left"/>
              <w:rPr>
                <w:rFonts w:ascii="黑体" w:hAnsi="黑体" w:eastAsia="黑体" w:cs="黑体"/>
                <w:bCs/>
                <w:color w:val="auto"/>
                <w:sz w:val="24"/>
              </w:rPr>
            </w:pPr>
          </w:p>
        </w:tc>
        <w:tc>
          <w:tcPr>
            <w:tcW w:w="533" w:type="dxa"/>
            <w:vMerge w:val="continue"/>
            <w:vAlign w:val="center"/>
          </w:tcPr>
          <w:p>
            <w:pPr>
              <w:widowControl/>
              <w:jc w:val="left"/>
              <w:rPr>
                <w:rFonts w:ascii="仿宋_GB2312" w:hAnsi="仿宋_GB2312" w:eastAsia="仿宋_GB2312" w:cs="仿宋_GB2312"/>
                <w:color w:val="auto"/>
                <w:szCs w:val="21"/>
              </w:rPr>
            </w:pPr>
          </w:p>
        </w:tc>
        <w:tc>
          <w:tcPr>
            <w:tcW w:w="615" w:type="dxa"/>
            <w:vMerge w:val="continue"/>
            <w:vAlign w:val="center"/>
          </w:tcPr>
          <w:p>
            <w:pPr>
              <w:widowControl/>
              <w:jc w:val="left"/>
              <w:rPr>
                <w:rFonts w:ascii="仿宋" w:hAnsi="仿宋" w:eastAsia="仿宋" w:cs="仿宋"/>
                <w:color w:val="auto"/>
                <w:sz w:val="22"/>
                <w:szCs w:val="22"/>
              </w:rPr>
            </w:pPr>
          </w:p>
        </w:tc>
        <w:tc>
          <w:tcPr>
            <w:tcW w:w="519" w:type="dxa"/>
            <w:vAlign w:val="center"/>
          </w:tcPr>
          <w:p>
            <w:pPr>
              <w:adjustRightInd w:val="0"/>
              <w:snapToGrid w:val="0"/>
              <w:spacing w:line="340" w:lineRule="exact"/>
              <w:jc w:val="center"/>
              <w:rPr>
                <w:rFonts w:ascii="仿宋" w:hAnsi="仿宋" w:eastAsia="仿宋" w:cs="仿宋"/>
                <w:color w:val="auto"/>
                <w:sz w:val="22"/>
                <w:szCs w:val="22"/>
              </w:rPr>
            </w:pPr>
            <w:r>
              <w:rPr>
                <w:rFonts w:ascii="仿宋" w:hAnsi="仿宋" w:eastAsia="仿宋" w:cs="仿宋"/>
                <w:color w:val="auto"/>
                <w:sz w:val="22"/>
                <w:szCs w:val="22"/>
              </w:rPr>
              <w:t>30</w:t>
            </w:r>
          </w:p>
        </w:tc>
        <w:tc>
          <w:tcPr>
            <w:tcW w:w="5291" w:type="dxa"/>
            <w:vAlign w:val="center"/>
          </w:tcPr>
          <w:p>
            <w:pPr>
              <w:ind w:firstLine="440" w:firstLineChars="200"/>
              <w:rPr>
                <w:rFonts w:ascii="仿宋" w:hAnsi="仿宋" w:eastAsia="仿宋" w:cs="仿宋"/>
                <w:color w:val="auto"/>
                <w:sz w:val="22"/>
                <w:szCs w:val="22"/>
              </w:rPr>
            </w:pPr>
            <w:r>
              <w:rPr>
                <w:rFonts w:hint="eastAsia" w:ascii="仿宋" w:hAnsi="仿宋" w:eastAsia="仿宋" w:cs="仿宋"/>
                <w:color w:val="auto"/>
                <w:sz w:val="22"/>
                <w:szCs w:val="22"/>
              </w:rPr>
              <w:t>本地区科技成果转移转化试点工作、经验做法。指按照《山东省人民政府关于加快全省技术转移体系建设的意见》要求，开展的值得在全省试点示范、宣传推广的促进本地区科技成果转移转化的各项特色工作、创新举措。描述主要内容和工作成效。</w:t>
            </w:r>
          </w:p>
        </w:tc>
        <w:tc>
          <w:tcPr>
            <w:tcW w:w="1088" w:type="dxa"/>
            <w:vAlign w:val="center"/>
          </w:tcPr>
          <w:p>
            <w:pPr>
              <w:jc w:val="center"/>
              <w:rPr>
                <w:rFonts w:ascii="仿宋" w:hAnsi="仿宋" w:eastAsia="仿宋" w:cs="仿宋"/>
                <w:color w:val="auto"/>
                <w:sz w:val="22"/>
                <w:szCs w:val="22"/>
              </w:rPr>
            </w:pPr>
            <w:r>
              <w:rPr>
                <w:rFonts w:ascii="仿宋" w:hAnsi="仿宋" w:eastAsia="仿宋" w:cs="仿宋"/>
                <w:color w:val="auto"/>
                <w:sz w:val="22"/>
                <w:szCs w:val="22"/>
              </w:rPr>
              <w:t>5</w:t>
            </w:r>
          </w:p>
        </w:tc>
      </w:tr>
    </w:tbl>
    <w:p>
      <w:pPr>
        <w:rPr>
          <w:rFonts w:hint="eastAsia" w:ascii="黑体" w:hAnsi="黑体" w:eastAsia="黑体" w:cs="黑体"/>
          <w:bCs/>
          <w:color w:val="auto"/>
          <w:sz w:val="32"/>
          <w:szCs w:val="32"/>
        </w:rPr>
      </w:pPr>
    </w:p>
    <w:p>
      <w:pPr>
        <w:rPr>
          <w:rFonts w:hint="eastAsia" w:ascii="黑体" w:hAnsi="黑体" w:eastAsia="黑体" w:cs="黑体"/>
          <w:bCs/>
          <w:color w:val="auto"/>
          <w:sz w:val="32"/>
          <w:szCs w:val="32"/>
        </w:rPr>
      </w:pPr>
    </w:p>
    <w:p>
      <w:pPr>
        <w:jc w:val="center"/>
        <w:rPr>
          <w:rFonts w:ascii="仿宋_GB2312" w:hAnsi="仿宋_GB2312" w:eastAsia="仿宋_GB2312" w:cs="仿宋_GB2312"/>
          <w:color w:val="auto"/>
          <w:sz w:val="32"/>
          <w:szCs w:val="32"/>
        </w:rPr>
      </w:pPr>
      <w:r>
        <w:rPr>
          <w:rFonts w:hint="eastAsia" w:ascii="黑体" w:hAnsi="黑体" w:eastAsia="黑体" w:cs="黑体"/>
          <w:bCs/>
          <w:color w:val="auto"/>
          <w:sz w:val="44"/>
          <w:szCs w:val="44"/>
        </w:rPr>
        <w:t>指标体系说明</w:t>
      </w:r>
    </w:p>
    <w:p>
      <w:pPr>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定量</w:t>
      </w:r>
      <w:r>
        <w:rPr>
          <w:rFonts w:hint="eastAsia" w:ascii="仿宋_GB2312" w:hAnsi="仿宋_GB2312" w:eastAsia="仿宋_GB2312" w:cs="仿宋_GB2312"/>
          <w:color w:val="auto"/>
          <w:sz w:val="32"/>
          <w:szCs w:val="32"/>
          <w:lang w:eastAsia="zh-CN"/>
        </w:rPr>
        <w:t>评价</w:t>
      </w:r>
      <w:r>
        <w:rPr>
          <w:rFonts w:hint="eastAsia" w:ascii="仿宋_GB2312" w:hAnsi="仿宋_GB2312" w:eastAsia="仿宋_GB2312" w:cs="仿宋_GB2312"/>
          <w:color w:val="auto"/>
          <w:sz w:val="32"/>
          <w:szCs w:val="32"/>
        </w:rPr>
        <w:t>部分共</w:t>
      </w:r>
      <w:r>
        <w:rPr>
          <w:rFonts w:ascii="仿宋_GB2312" w:hAnsi="仿宋_GB2312" w:eastAsia="仿宋_GB2312" w:cs="仿宋_GB2312"/>
          <w:color w:val="auto"/>
          <w:sz w:val="32"/>
          <w:szCs w:val="32"/>
        </w:rPr>
        <w:t>160</w:t>
      </w:r>
      <w:r>
        <w:rPr>
          <w:rFonts w:hint="eastAsia" w:ascii="仿宋_GB2312" w:hAnsi="仿宋_GB2312" w:eastAsia="仿宋_GB2312" w:cs="仿宋_GB2312"/>
          <w:color w:val="auto"/>
          <w:sz w:val="32"/>
          <w:szCs w:val="32"/>
        </w:rPr>
        <w:t>分，以各指标的平均值为基准，指标值为</w:t>
      </w:r>
      <w:r>
        <w:rPr>
          <w:rFonts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rPr>
        <w:t>，则得</w:t>
      </w:r>
      <w:r>
        <w:rPr>
          <w:rFonts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rPr>
        <w:t>分，大于</w:t>
      </w:r>
      <w:r>
        <w:rPr>
          <w:rFonts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rPr>
        <w:t>并低于平均值，则得到该指标分值的</w:t>
      </w:r>
      <w:r>
        <w:rPr>
          <w:rFonts w:ascii="仿宋_GB2312" w:hAnsi="仿宋_GB2312" w:eastAsia="仿宋_GB2312" w:cs="仿宋_GB2312"/>
          <w:color w:val="auto"/>
          <w:sz w:val="32"/>
          <w:szCs w:val="32"/>
        </w:rPr>
        <w:t>50%</w:t>
      </w:r>
      <w:r>
        <w:rPr>
          <w:rFonts w:hint="eastAsia" w:ascii="仿宋_GB2312" w:hAnsi="仿宋_GB2312" w:eastAsia="仿宋_GB2312" w:cs="仿宋_GB2312"/>
          <w:color w:val="auto"/>
          <w:sz w:val="32"/>
          <w:szCs w:val="32"/>
        </w:rPr>
        <w:t>，达到平均值，则得到该指标分值的</w:t>
      </w:r>
      <w:r>
        <w:rPr>
          <w:rFonts w:ascii="仿宋_GB2312" w:hAnsi="仿宋_GB2312" w:eastAsia="仿宋_GB2312" w:cs="仿宋_GB2312"/>
          <w:color w:val="auto"/>
          <w:sz w:val="32"/>
          <w:szCs w:val="32"/>
        </w:rPr>
        <w:t>75%</w:t>
      </w:r>
      <w:r>
        <w:rPr>
          <w:rFonts w:hint="eastAsia" w:ascii="仿宋_GB2312" w:hAnsi="仿宋_GB2312" w:eastAsia="仿宋_GB2312" w:cs="仿宋_GB2312"/>
          <w:color w:val="auto"/>
          <w:sz w:val="32"/>
          <w:szCs w:val="32"/>
        </w:rPr>
        <w:t>，达到最优值前三名，则得到该指标分值的</w:t>
      </w:r>
      <w:r>
        <w:rPr>
          <w:rFonts w:ascii="仿宋_GB2312" w:hAnsi="仿宋_GB2312" w:eastAsia="仿宋_GB2312" w:cs="仿宋_GB2312"/>
          <w:color w:val="auto"/>
          <w:sz w:val="32"/>
          <w:szCs w:val="32"/>
        </w:rPr>
        <w:t>100%</w:t>
      </w:r>
      <w:r>
        <w:rPr>
          <w:rFonts w:hint="eastAsia" w:ascii="仿宋_GB2312" w:hAnsi="仿宋_GB2312" w:eastAsia="仿宋_GB2312" w:cs="仿宋_GB2312"/>
          <w:color w:val="auto"/>
          <w:sz w:val="32"/>
          <w:szCs w:val="32"/>
        </w:rPr>
        <w:t>。定性</w:t>
      </w:r>
      <w:r>
        <w:rPr>
          <w:rFonts w:hint="eastAsia" w:ascii="仿宋_GB2312" w:hAnsi="仿宋_GB2312" w:eastAsia="仿宋_GB2312" w:cs="仿宋_GB2312"/>
          <w:color w:val="auto"/>
          <w:sz w:val="32"/>
          <w:szCs w:val="32"/>
          <w:lang w:eastAsia="zh-CN"/>
        </w:rPr>
        <w:t>评价</w:t>
      </w:r>
      <w:r>
        <w:rPr>
          <w:rFonts w:hint="eastAsia" w:ascii="仿宋_GB2312" w:hAnsi="仿宋_GB2312" w:eastAsia="仿宋_GB2312" w:cs="仿宋_GB2312"/>
          <w:color w:val="auto"/>
          <w:sz w:val="32"/>
          <w:szCs w:val="32"/>
        </w:rPr>
        <w:t>部分共</w:t>
      </w:r>
      <w:r>
        <w:rPr>
          <w:rFonts w:ascii="仿宋_GB2312" w:hAnsi="仿宋_GB2312" w:eastAsia="仿宋_GB2312" w:cs="仿宋_GB2312"/>
          <w:color w:val="auto"/>
          <w:sz w:val="32"/>
          <w:szCs w:val="32"/>
        </w:rPr>
        <w:t>40</w:t>
      </w:r>
      <w:r>
        <w:rPr>
          <w:rFonts w:hint="eastAsia" w:ascii="仿宋_GB2312" w:hAnsi="仿宋_GB2312" w:eastAsia="仿宋_GB2312" w:cs="仿宋_GB2312"/>
          <w:color w:val="auto"/>
          <w:sz w:val="32"/>
          <w:szCs w:val="32"/>
        </w:rPr>
        <w:t>分，专家组在全面考核的基础上，根据各项</w:t>
      </w:r>
      <w:r>
        <w:rPr>
          <w:rFonts w:hint="eastAsia" w:ascii="仿宋_GB2312" w:hAnsi="仿宋_GB2312" w:eastAsia="仿宋_GB2312" w:cs="仿宋_GB2312"/>
          <w:color w:val="auto"/>
          <w:sz w:val="32"/>
          <w:szCs w:val="32"/>
          <w:lang w:eastAsia="zh-CN"/>
        </w:rPr>
        <w:t>评价</w:t>
      </w:r>
      <w:r>
        <w:rPr>
          <w:rFonts w:hint="eastAsia" w:ascii="仿宋_GB2312" w:hAnsi="仿宋_GB2312" w:eastAsia="仿宋_GB2312" w:cs="仿宋_GB2312"/>
          <w:color w:val="auto"/>
          <w:sz w:val="32"/>
          <w:szCs w:val="32"/>
        </w:rPr>
        <w:t>指标权重，坚持客观、公正的原则，采取科学的打分方法给出得分。总分为定量指标分值加定性指标分值。</w:t>
      </w:r>
    </w:p>
    <w:p>
      <w:pPr>
        <w:ind w:firstLine="64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技术合同输出金额、吸纳金额根据各年度省统计分析情况得出，原始数据来源于全国技术合同认定登记系统。</w:t>
      </w:r>
      <w:r>
        <w:rPr>
          <w:rFonts w:ascii="仿宋_GB2312" w:hAnsi="仿宋_GB2312" w:eastAsia="仿宋_GB2312" w:cs="仿宋_GB2312"/>
          <w:color w:val="auto"/>
          <w:sz w:val="32"/>
          <w:szCs w:val="32"/>
        </w:rPr>
        <w:t>GDP</w:t>
      </w:r>
      <w:r>
        <w:rPr>
          <w:rFonts w:hint="eastAsia" w:ascii="仿宋_GB2312" w:hAnsi="仿宋_GB2312" w:eastAsia="仿宋_GB2312" w:cs="仿宋_GB2312"/>
          <w:color w:val="auto"/>
          <w:sz w:val="32"/>
          <w:szCs w:val="32"/>
        </w:rPr>
        <w:t>是指按市场价格计算的地区所有常住单位在一定时期内生产活动的最终成果，以权威统计部门公开发布的数据为准。</w:t>
      </w:r>
    </w:p>
    <w:p>
      <w:pPr>
        <w:ind w:firstLine="64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科技成果转移转化管理部门人数是指县级党委、政府领导下的机关、事业单位中从事科技成果转移转化政策制定落实、活动开展、服务机构建设、人员培养、合同登记等技术转移工作的人员总数。</w:t>
      </w:r>
    </w:p>
    <w:p>
      <w:pPr>
        <w:ind w:firstLine="64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基层科技成果转移转化人才是指在县处级以下部门从事技术转移工作的人员，包括基层农技人员、科技特派员、大学生村官、扶贫第一书记等。</w:t>
      </w:r>
    </w:p>
    <w:p>
      <w:pPr>
        <w:ind w:firstLine="64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技术转移平台指为方便供需双方对接打造的交易对接平台，可提供信息展示、供需对接、中介服务等基本功能，包括线上平台和线下实体平台。</w:t>
      </w:r>
    </w:p>
    <w:p>
      <w:pPr>
        <w:ind w:firstLine="64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技术转移服务机构是指在省内注册，以促进科技成果转化为目的，为促成他人技术交易而从事的居间、经纪或代理活动并取得合理佣金，依法成立的法人机构或高校、科研院所内设技术转移专门机构。</w:t>
      </w:r>
    </w:p>
    <w:p>
      <w:pPr>
        <w:ind w:firstLine="64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7</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省级技术转移服务机构按照《山东省支持培育技术转移服务机构补助资金管理办法》（鲁科字〔</w:t>
      </w:r>
      <w:r>
        <w:rPr>
          <w:rFonts w:ascii="仿宋_GB2312" w:hAnsi="仿宋_GB2312" w:eastAsia="仿宋_GB2312" w:cs="仿宋_GB2312"/>
          <w:color w:val="auto"/>
          <w:sz w:val="32"/>
          <w:szCs w:val="32"/>
        </w:rPr>
        <w:t>2019</w:t>
      </w:r>
      <w:r>
        <w:rPr>
          <w:rFonts w:hint="eastAsia" w:ascii="仿宋_GB2312" w:hAnsi="仿宋_GB2312" w:eastAsia="仿宋_GB2312" w:cs="仿宋_GB2312"/>
          <w:color w:val="auto"/>
          <w:sz w:val="32"/>
          <w:szCs w:val="32"/>
        </w:rPr>
        <w:t>〕</w:t>
      </w:r>
      <w:r>
        <w:rPr>
          <w:rFonts w:ascii="仿宋_GB2312" w:hAnsi="仿宋_GB2312" w:eastAsia="仿宋_GB2312" w:cs="仿宋_GB2312"/>
          <w:color w:val="auto"/>
          <w:sz w:val="32"/>
          <w:szCs w:val="32"/>
        </w:rPr>
        <w:t>54</w:t>
      </w:r>
      <w:r>
        <w:rPr>
          <w:rFonts w:hint="eastAsia" w:ascii="仿宋_GB2312" w:hAnsi="仿宋_GB2312" w:eastAsia="仿宋_GB2312" w:cs="仿宋_GB2312"/>
          <w:color w:val="auto"/>
          <w:sz w:val="32"/>
          <w:szCs w:val="32"/>
        </w:rPr>
        <w:t>号）进行评价，以省科技厅网站公布结果为准。</w:t>
      </w:r>
    </w:p>
    <w:p>
      <w:pPr>
        <w:ind w:firstLine="64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8</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促成技术转移项目指组织技术交易活动，组织实施政府的技术转移专项，组织重大科技计划项目成果的技术转移，以及其它成交技术转移项目数量。</w:t>
      </w:r>
    </w:p>
    <w:p>
      <w:pPr>
        <w:ind w:firstLine="64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9</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服务企业数量指接受过机构提供某项服务的企业数量。若某企业接受过多项或多次服务，仍按一个企业计数。</w:t>
      </w:r>
    </w:p>
    <w:p>
      <w:pPr>
        <w:ind w:firstLine="64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10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技术转移服务从业人员指机关、事业单位、企业等从事技术转移服务工作的全体人员。</w:t>
      </w:r>
    </w:p>
    <w:p>
      <w:pPr>
        <w:ind w:firstLine="640"/>
        <w:rPr>
          <w:color w:val="auto"/>
        </w:rPr>
      </w:pPr>
      <w:r>
        <w:rPr>
          <w:rFonts w:ascii="仿宋_GB2312" w:hAnsi="仿宋_GB2312" w:eastAsia="仿宋_GB2312" w:cs="仿宋_GB2312"/>
          <w:color w:val="auto"/>
          <w:sz w:val="32"/>
          <w:szCs w:val="32"/>
        </w:rPr>
        <w:t>11</w:t>
      </w:r>
      <w:r>
        <w:rPr>
          <w:rFonts w:hint="eastAsia" w:ascii="仿宋_GB2312" w:hAnsi="仿宋_GB2312" w:eastAsia="仿宋_GB2312" w:cs="仿宋_GB2312"/>
          <w:color w:val="auto"/>
          <w:sz w:val="32"/>
          <w:szCs w:val="32"/>
          <w:lang w:eastAsia="zh-CN"/>
        </w:rPr>
        <w:t>.</w:t>
      </w:r>
      <w:bookmarkStart w:id="0" w:name="_GoBack"/>
      <w:bookmarkEnd w:id="0"/>
      <w:r>
        <w:rPr>
          <w:rFonts w:hint="eastAsia" w:ascii="仿宋_GB2312" w:hAnsi="仿宋_GB2312" w:eastAsia="仿宋_GB2312" w:cs="仿宋_GB2312"/>
          <w:color w:val="auto"/>
          <w:sz w:val="32"/>
          <w:szCs w:val="32"/>
        </w:rPr>
        <w:t>技术经纪人指在技术市场中，以促进科技成果转移转化为目的，为促成他人技术交易而从事中介居间、经纪或代理等，并取得合理佣金的自然人，以取得技术经纪人证书或技术经纪人培训结业证书为准。</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24278D"/>
    <w:rsid w:val="1024278D"/>
    <w:rsid w:val="42A63FB6"/>
    <w:rsid w:val="68E54FF3"/>
    <w:rsid w:val="6B0972CD"/>
    <w:rsid w:val="7E8B73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kern w:val="0"/>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qFormat/>
    <w:uiPriority w:val="99"/>
    <w:rPr>
      <w:rFonts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1716</Words>
  <Characters>1795</Characters>
  <Lines>0</Lines>
  <Paragraphs>0</Paragraphs>
  <TotalTime>30</TotalTime>
  <ScaleCrop>false</ScaleCrop>
  <LinksUpToDate>false</LinksUpToDate>
  <CharactersWithSpaces>1824</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2022-04-07T06:42:00Z</dcterms:created>
  <dc:creator>知了猴</dc:creator>
  <cp:lastModifiedBy>知了猴</cp:lastModifiedBy>
  <cp:lastPrinted>2022-04-11T01:48:56Z</cp:lastPrinted>
  <dcterms:modified xsi:type="dcterms:W3CDTF">2022-04-11T01:48:58Z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CCC73BE8AC094E64A61F9289EAB715D8</vt:lpwstr>
  </property>
</Properties>
</file>