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2</w:t>
      </w:r>
    </w:p>
    <w:p>
      <w:pPr>
        <w:spacing w:line="560" w:lineRule="exact"/>
        <w:rPr>
          <w:bCs/>
          <w:color w:val="auto"/>
        </w:rPr>
      </w:pPr>
      <w:r>
        <w:rPr>
          <w:color w:val="auto"/>
          <w:sz w:val="30"/>
        </w:rPr>
        <w:t xml:space="preserve">                            </w:t>
      </w:r>
    </w:p>
    <w:p>
      <w:pPr>
        <w:widowControl/>
        <w:jc w:val="center"/>
        <w:rPr>
          <w:rFonts w:ascii="黑体" w:eastAsia="黑体"/>
          <w:color w:val="auto"/>
          <w:sz w:val="36"/>
          <w:szCs w:val="36"/>
        </w:rPr>
      </w:pPr>
      <w:r>
        <w:rPr>
          <w:rFonts w:hint="eastAsia" w:ascii="方正小标宋简体" w:hAnsi="方正小标宋简体" w:eastAsia="方正小标宋简体" w:cs="方正小标宋简体"/>
          <w:color w:val="auto"/>
          <w:sz w:val="36"/>
          <w:szCs w:val="36"/>
        </w:rPr>
        <w:t>山东省技术转移先进县（市、区）评价指标体系</w:t>
      </w:r>
    </w:p>
    <w:p>
      <w:pPr>
        <w:widowControl/>
        <w:jc w:val="center"/>
        <w:rPr>
          <w:rFonts w:ascii="楷体" w:hAnsi="楷体" w:eastAsia="楷体" w:cs="楷体"/>
          <w:color w:val="auto"/>
          <w:sz w:val="32"/>
          <w:szCs w:val="32"/>
        </w:rPr>
      </w:pPr>
      <w:r>
        <w:rPr>
          <w:rFonts w:hint="eastAsia" w:ascii="楷体_GB2312" w:hAnsi="楷体_GB2312" w:eastAsia="楷体_GB2312" w:cs="楷体_GB2312"/>
          <w:color w:val="auto"/>
          <w:sz w:val="32"/>
          <w:szCs w:val="32"/>
        </w:rPr>
        <w:t>（总分200分）</w:t>
      </w:r>
    </w:p>
    <w:tbl>
      <w:tblPr>
        <w:tblStyle w:val="4"/>
        <w:tblpPr w:leftFromText="180" w:rightFromText="180" w:vertAnchor="text" w:horzAnchor="page" w:tblpX="1442" w:tblpY="448"/>
        <w:tblOverlap w:val="never"/>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533"/>
        <w:gridCol w:w="615"/>
        <w:gridCol w:w="519"/>
        <w:gridCol w:w="529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450" w:type="dxa"/>
            <w:gridSpan w:val="2"/>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指标分类</w:t>
            </w:r>
          </w:p>
        </w:tc>
        <w:tc>
          <w:tcPr>
            <w:tcW w:w="615" w:type="dxa"/>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权</w:t>
            </w:r>
            <w:r>
              <w:rPr>
                <w:rFonts w:ascii="黑体" w:hAnsi="黑体" w:eastAsia="黑体" w:cs="黑体"/>
                <w:bCs/>
                <w:color w:val="auto"/>
                <w:sz w:val="24"/>
                <w:szCs w:val="24"/>
              </w:rPr>
              <w:t xml:space="preserve"> </w:t>
            </w:r>
            <w:r>
              <w:rPr>
                <w:rFonts w:hint="eastAsia" w:ascii="黑体" w:hAnsi="黑体" w:eastAsia="黑体" w:cs="黑体"/>
                <w:bCs/>
                <w:color w:val="auto"/>
                <w:sz w:val="24"/>
                <w:szCs w:val="24"/>
              </w:rPr>
              <w:t>重</w:t>
            </w:r>
          </w:p>
        </w:tc>
        <w:tc>
          <w:tcPr>
            <w:tcW w:w="519" w:type="dxa"/>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代码</w:t>
            </w:r>
          </w:p>
        </w:tc>
        <w:tc>
          <w:tcPr>
            <w:tcW w:w="5291" w:type="dxa"/>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评价指标</w:t>
            </w:r>
          </w:p>
        </w:tc>
        <w:tc>
          <w:tcPr>
            <w:tcW w:w="1088" w:type="dxa"/>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17" w:type="dxa"/>
            <w:vMerge w:val="restart"/>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定</w:t>
            </w:r>
          </w:p>
          <w:p>
            <w:pPr>
              <w:jc w:val="center"/>
              <w:rPr>
                <w:rFonts w:ascii="黑体" w:hAnsi="黑体" w:eastAsia="黑体" w:cs="黑体"/>
                <w:bCs/>
                <w:color w:val="auto"/>
                <w:sz w:val="24"/>
                <w:szCs w:val="24"/>
              </w:rPr>
            </w:pPr>
            <w:r>
              <w:rPr>
                <w:rFonts w:hint="eastAsia" w:ascii="黑体" w:hAnsi="黑体" w:eastAsia="黑体" w:cs="黑体"/>
                <w:bCs/>
                <w:color w:val="auto"/>
                <w:sz w:val="24"/>
                <w:szCs w:val="24"/>
              </w:rPr>
              <w:t>量</w:t>
            </w:r>
          </w:p>
          <w:p>
            <w:pPr>
              <w:jc w:val="center"/>
              <w:rPr>
                <w:rFonts w:ascii="黑体" w:hAnsi="黑体" w:eastAsia="黑体" w:cs="黑体"/>
                <w:bCs/>
                <w:color w:val="auto"/>
                <w:sz w:val="24"/>
                <w:szCs w:val="24"/>
              </w:rPr>
            </w:pPr>
            <w:r>
              <w:rPr>
                <w:rFonts w:hint="eastAsia" w:ascii="黑体" w:hAnsi="黑体" w:eastAsia="黑体" w:cs="黑体"/>
                <w:bCs/>
                <w:color w:val="auto"/>
                <w:sz w:val="24"/>
                <w:szCs w:val="24"/>
              </w:rPr>
              <w:t>指</w:t>
            </w:r>
          </w:p>
          <w:p>
            <w:pPr>
              <w:jc w:val="center"/>
              <w:rPr>
                <w:rFonts w:ascii="黑体" w:hAnsi="黑体" w:eastAsia="黑体" w:cs="黑体"/>
                <w:bCs/>
                <w:color w:val="auto"/>
                <w:sz w:val="24"/>
                <w:szCs w:val="24"/>
              </w:rPr>
            </w:pPr>
            <w:r>
              <w:rPr>
                <w:rFonts w:hint="eastAsia" w:ascii="黑体" w:hAnsi="黑体" w:eastAsia="黑体" w:cs="黑体"/>
                <w:bCs/>
                <w:color w:val="auto"/>
                <w:sz w:val="24"/>
                <w:szCs w:val="24"/>
              </w:rPr>
              <w:t>标</w:t>
            </w:r>
          </w:p>
        </w:tc>
        <w:tc>
          <w:tcPr>
            <w:tcW w:w="533" w:type="dxa"/>
            <w:vMerge w:val="restart"/>
            <w:vAlign w:val="center"/>
          </w:tcPr>
          <w:p>
            <w:pPr>
              <w:jc w:val="center"/>
              <w:rPr>
                <w:rFonts w:ascii="仿宋_GB2312" w:hAnsi="仿宋_GB2312" w:eastAsia="仿宋_GB2312" w:cs="仿宋_GB2312"/>
                <w:color w:val="auto"/>
                <w:sz w:val="24"/>
                <w:szCs w:val="24"/>
              </w:rPr>
            </w:pPr>
            <w:r>
              <w:rPr>
                <w:rFonts w:hint="eastAsia" w:ascii="黑体" w:hAnsi="黑体" w:eastAsia="黑体" w:cs="黑体"/>
                <w:bCs/>
                <w:color w:val="auto"/>
                <w:kern w:val="0"/>
                <w:sz w:val="24"/>
                <w:szCs w:val="24"/>
              </w:rPr>
              <w:t>技术交易额</w:t>
            </w:r>
          </w:p>
        </w:tc>
        <w:tc>
          <w:tcPr>
            <w:tcW w:w="615" w:type="dxa"/>
            <w:vMerge w:val="restart"/>
            <w:vAlign w:val="center"/>
          </w:tcPr>
          <w:p>
            <w:pPr>
              <w:jc w:val="center"/>
              <w:rPr>
                <w:rFonts w:ascii="仿宋" w:hAnsi="仿宋" w:eastAsia="仿宋" w:cs="仿宋"/>
                <w:color w:val="auto"/>
                <w:sz w:val="22"/>
                <w:szCs w:val="22"/>
              </w:rPr>
            </w:pPr>
            <w:r>
              <w:rPr>
                <w:rFonts w:ascii="仿宋" w:hAnsi="仿宋" w:eastAsia="仿宋" w:cs="仿宋"/>
                <w:color w:val="auto"/>
                <w:sz w:val="22"/>
                <w:szCs w:val="22"/>
              </w:rPr>
              <w:t>40%</w:t>
            </w: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01</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技术合同输出金额（亿元）</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17" w:type="dxa"/>
            <w:vMerge w:val="continue"/>
            <w:vAlign w:val="center"/>
          </w:tcPr>
          <w:p>
            <w:pPr>
              <w:jc w:val="center"/>
              <w:rPr>
                <w:rFonts w:ascii="黑体" w:hAnsi="黑体" w:eastAsia="黑体" w:cs="黑体"/>
                <w:bCs/>
                <w:color w:val="auto"/>
                <w:sz w:val="24"/>
                <w:szCs w:val="24"/>
              </w:rPr>
            </w:pPr>
          </w:p>
        </w:tc>
        <w:tc>
          <w:tcPr>
            <w:tcW w:w="533" w:type="dxa"/>
            <w:vMerge w:val="continue"/>
            <w:vAlign w:val="center"/>
          </w:tcPr>
          <w:p>
            <w:pPr>
              <w:jc w:val="center"/>
              <w:rPr>
                <w:rFonts w:ascii="黑体" w:hAnsi="黑体" w:eastAsia="黑体" w:cs="黑体"/>
                <w:bCs/>
                <w:color w:val="auto"/>
                <w:kern w:val="0"/>
                <w:sz w:val="24"/>
                <w:szCs w:val="24"/>
              </w:rPr>
            </w:pPr>
          </w:p>
        </w:tc>
        <w:tc>
          <w:tcPr>
            <w:tcW w:w="615" w:type="dxa"/>
            <w:vMerge w:val="continue"/>
            <w:vAlign w:val="center"/>
          </w:tcPr>
          <w:p>
            <w:pPr>
              <w:jc w:val="center"/>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02</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技术合同输出金额同比增长率</w:t>
            </w:r>
            <w:r>
              <w:rPr>
                <w:rFonts w:ascii="仿宋" w:hAnsi="仿宋" w:eastAsia="仿宋" w:cs="仿宋"/>
                <w:color w:val="auto"/>
                <w:sz w:val="22"/>
                <w:szCs w:val="22"/>
              </w:rPr>
              <w:t>(%)</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03</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技术合同输出金额占</w:t>
            </w:r>
            <w:r>
              <w:rPr>
                <w:rFonts w:ascii="仿宋" w:hAnsi="仿宋" w:eastAsia="仿宋" w:cs="仿宋"/>
                <w:color w:val="auto"/>
                <w:sz w:val="22"/>
                <w:szCs w:val="22"/>
              </w:rPr>
              <w:t>GDP</w:t>
            </w:r>
            <w:r>
              <w:rPr>
                <w:rFonts w:hint="eastAsia" w:ascii="仿宋" w:hAnsi="仿宋" w:eastAsia="仿宋" w:cs="仿宋"/>
                <w:color w:val="auto"/>
                <w:sz w:val="22"/>
                <w:szCs w:val="22"/>
              </w:rPr>
              <w:t>比重（</w:t>
            </w:r>
            <w:r>
              <w:rPr>
                <w:rFonts w:ascii="仿宋" w:hAnsi="仿宋" w:eastAsia="仿宋" w:cs="仿宋"/>
                <w:color w:val="auto"/>
                <w:sz w:val="22"/>
                <w:szCs w:val="22"/>
              </w:rPr>
              <w:t>%</w:t>
            </w:r>
            <w:r>
              <w:rPr>
                <w:rFonts w:hint="eastAsia" w:ascii="仿宋" w:hAnsi="仿宋" w:eastAsia="仿宋" w:cs="仿宋"/>
                <w:color w:val="auto"/>
                <w:sz w:val="22"/>
                <w:szCs w:val="22"/>
              </w:rPr>
              <w:t>）</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04</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技术合同吸纳金额（亿元）</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05</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技术合同吸纳金额同比增长率（</w:t>
            </w:r>
            <w:r>
              <w:rPr>
                <w:rFonts w:ascii="仿宋" w:hAnsi="仿宋" w:eastAsia="仿宋" w:cs="仿宋"/>
                <w:color w:val="auto"/>
                <w:sz w:val="22"/>
                <w:szCs w:val="22"/>
              </w:rPr>
              <w:t>%</w:t>
            </w:r>
            <w:r>
              <w:rPr>
                <w:rFonts w:hint="eastAsia" w:ascii="仿宋" w:hAnsi="仿宋" w:eastAsia="仿宋" w:cs="仿宋"/>
                <w:color w:val="auto"/>
                <w:sz w:val="22"/>
                <w:szCs w:val="22"/>
              </w:rPr>
              <w:t>）</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06</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技术合同吸纳金额占</w:t>
            </w:r>
            <w:r>
              <w:rPr>
                <w:rFonts w:ascii="仿宋" w:hAnsi="仿宋" w:eastAsia="仿宋" w:cs="仿宋"/>
                <w:color w:val="auto"/>
                <w:sz w:val="22"/>
                <w:szCs w:val="22"/>
              </w:rPr>
              <w:t>GDP</w:t>
            </w:r>
            <w:r>
              <w:rPr>
                <w:rFonts w:hint="eastAsia" w:ascii="仿宋" w:hAnsi="仿宋" w:eastAsia="仿宋" w:cs="仿宋"/>
                <w:color w:val="auto"/>
                <w:sz w:val="22"/>
                <w:szCs w:val="22"/>
              </w:rPr>
              <w:t>比重</w:t>
            </w:r>
            <w:r>
              <w:rPr>
                <w:rFonts w:ascii="仿宋" w:hAnsi="仿宋" w:eastAsia="仿宋" w:cs="仿宋"/>
                <w:color w:val="auto"/>
                <w:sz w:val="22"/>
                <w:szCs w:val="22"/>
              </w:rPr>
              <w:t>(%)</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restart"/>
            <w:vAlign w:val="center"/>
          </w:tcPr>
          <w:p>
            <w:pPr>
              <w:jc w:val="center"/>
              <w:rPr>
                <w:rFonts w:ascii="仿宋_GB2312" w:hAnsi="仿宋_GB2312" w:eastAsia="仿宋_GB2312" w:cs="仿宋_GB2312"/>
                <w:color w:val="auto"/>
                <w:sz w:val="24"/>
                <w:szCs w:val="24"/>
              </w:rPr>
            </w:pPr>
            <w:r>
              <w:rPr>
                <w:rFonts w:hint="eastAsia" w:ascii="黑体" w:hAnsi="黑体" w:eastAsia="黑体" w:cs="黑体"/>
                <w:bCs/>
                <w:color w:val="auto"/>
                <w:kern w:val="0"/>
                <w:sz w:val="24"/>
                <w:szCs w:val="24"/>
              </w:rPr>
              <w:t>技术市场管理人员</w:t>
            </w:r>
          </w:p>
        </w:tc>
        <w:tc>
          <w:tcPr>
            <w:tcW w:w="615" w:type="dxa"/>
            <w:vMerge w:val="restart"/>
            <w:vAlign w:val="center"/>
          </w:tcPr>
          <w:p>
            <w:pPr>
              <w:jc w:val="center"/>
              <w:rPr>
                <w:rFonts w:ascii="仿宋" w:hAnsi="仿宋" w:eastAsia="仿宋" w:cs="仿宋"/>
                <w:color w:val="auto"/>
                <w:sz w:val="22"/>
                <w:szCs w:val="22"/>
              </w:rPr>
            </w:pPr>
            <w:r>
              <w:rPr>
                <w:rFonts w:ascii="仿宋" w:hAnsi="仿宋" w:eastAsia="仿宋" w:cs="仿宋"/>
                <w:color w:val="auto"/>
                <w:sz w:val="22"/>
                <w:szCs w:val="22"/>
              </w:rPr>
              <w:t>8%</w:t>
            </w:r>
          </w:p>
          <w:p>
            <w:pPr>
              <w:jc w:val="center"/>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07</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本县（市、区）科技成果转移转化管理部门人数（人）</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08</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本县（市、区）科技成果转移转化管理部门人员中本科及以上学历人数所占比例（</w:t>
            </w:r>
            <w:r>
              <w:rPr>
                <w:rFonts w:ascii="仿宋" w:hAnsi="仿宋" w:eastAsia="仿宋" w:cs="仿宋"/>
                <w:color w:val="auto"/>
                <w:sz w:val="22"/>
                <w:szCs w:val="22"/>
              </w:rPr>
              <w:t>%</w:t>
            </w:r>
            <w:r>
              <w:rPr>
                <w:rFonts w:hint="eastAsia" w:ascii="仿宋" w:hAnsi="仿宋" w:eastAsia="仿宋" w:cs="仿宋"/>
                <w:color w:val="auto"/>
                <w:sz w:val="22"/>
                <w:szCs w:val="22"/>
              </w:rPr>
              <w:t>）</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09</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基层科技成果转移转化人才数量（人）</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restart"/>
            <w:vAlign w:val="center"/>
          </w:tcPr>
          <w:p>
            <w:pPr>
              <w:widowControl/>
              <w:jc w:val="left"/>
              <w:rPr>
                <w:rFonts w:ascii="黑体" w:hAnsi="黑体" w:eastAsia="黑体" w:cs="黑体"/>
                <w:bCs/>
                <w:color w:val="auto"/>
                <w:kern w:val="0"/>
                <w:sz w:val="24"/>
                <w:szCs w:val="24"/>
              </w:rPr>
            </w:pPr>
            <w:r>
              <w:rPr>
                <w:rFonts w:hint="eastAsia" w:ascii="黑体" w:hAnsi="黑体" w:eastAsia="黑体" w:cs="黑体"/>
                <w:bCs/>
                <w:color w:val="auto"/>
                <w:kern w:val="0"/>
                <w:sz w:val="24"/>
                <w:szCs w:val="24"/>
              </w:rPr>
              <w:t>技术转移平台</w:t>
            </w:r>
          </w:p>
        </w:tc>
        <w:tc>
          <w:tcPr>
            <w:tcW w:w="615" w:type="dxa"/>
            <w:vMerge w:val="restart"/>
            <w:vAlign w:val="center"/>
          </w:tcPr>
          <w:p>
            <w:pPr>
              <w:widowControl/>
              <w:jc w:val="left"/>
              <w:rPr>
                <w:rFonts w:ascii="仿宋" w:hAnsi="仿宋" w:eastAsia="仿宋" w:cs="仿宋"/>
                <w:color w:val="auto"/>
                <w:sz w:val="22"/>
                <w:szCs w:val="22"/>
              </w:rPr>
            </w:pPr>
            <w:r>
              <w:rPr>
                <w:rFonts w:ascii="仿宋" w:hAnsi="仿宋" w:eastAsia="仿宋" w:cs="仿宋"/>
                <w:color w:val="auto"/>
                <w:sz w:val="22"/>
                <w:szCs w:val="22"/>
              </w:rPr>
              <w:t>12%</w:t>
            </w:r>
          </w:p>
        </w:tc>
        <w:tc>
          <w:tcPr>
            <w:tcW w:w="519" w:type="dxa"/>
            <w:vAlign w:val="center"/>
          </w:tcPr>
          <w:p>
            <w:pPr>
              <w:widowControl/>
              <w:jc w:val="center"/>
              <w:rPr>
                <w:rFonts w:ascii="仿宋" w:hAnsi="仿宋" w:eastAsia="仿宋" w:cs="仿宋"/>
                <w:color w:val="auto"/>
                <w:sz w:val="22"/>
                <w:szCs w:val="22"/>
              </w:rPr>
            </w:pPr>
            <w:r>
              <w:rPr>
                <w:rFonts w:ascii="仿宋" w:hAnsi="仿宋" w:eastAsia="仿宋" w:cs="仿宋"/>
                <w:color w:val="auto"/>
                <w:sz w:val="22"/>
                <w:szCs w:val="22"/>
              </w:rPr>
              <w:t>10</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线上技术转移平台数量（个）</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widowControl/>
              <w:jc w:val="center"/>
              <w:rPr>
                <w:rFonts w:ascii="仿宋" w:hAnsi="仿宋" w:eastAsia="仿宋" w:cs="仿宋"/>
                <w:color w:val="auto"/>
                <w:sz w:val="22"/>
                <w:szCs w:val="22"/>
              </w:rPr>
            </w:pPr>
            <w:r>
              <w:rPr>
                <w:rFonts w:ascii="仿宋" w:hAnsi="仿宋" w:eastAsia="仿宋" w:cs="仿宋"/>
                <w:color w:val="auto"/>
                <w:sz w:val="22"/>
                <w:szCs w:val="22"/>
              </w:rPr>
              <w:t>11</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线下技术转移平台数量（个）</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widowControl/>
              <w:jc w:val="center"/>
              <w:rPr>
                <w:rFonts w:ascii="仿宋" w:hAnsi="仿宋" w:eastAsia="仿宋" w:cs="仿宋"/>
                <w:color w:val="auto"/>
                <w:sz w:val="22"/>
                <w:szCs w:val="22"/>
              </w:rPr>
            </w:pPr>
            <w:r>
              <w:rPr>
                <w:rFonts w:ascii="仿宋" w:hAnsi="仿宋" w:eastAsia="仿宋" w:cs="仿宋"/>
                <w:color w:val="auto"/>
                <w:sz w:val="22"/>
                <w:szCs w:val="22"/>
              </w:rPr>
              <w:t>12</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举办技术对接活动（次）</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widowControl/>
              <w:jc w:val="center"/>
              <w:rPr>
                <w:rFonts w:ascii="仿宋" w:hAnsi="仿宋" w:eastAsia="仿宋" w:cs="仿宋"/>
                <w:color w:val="auto"/>
                <w:sz w:val="22"/>
                <w:szCs w:val="22"/>
              </w:rPr>
            </w:pPr>
            <w:r>
              <w:rPr>
                <w:rFonts w:ascii="仿宋" w:hAnsi="仿宋" w:eastAsia="仿宋" w:cs="仿宋"/>
                <w:color w:val="auto"/>
                <w:sz w:val="22"/>
                <w:szCs w:val="22"/>
              </w:rPr>
              <w:t>13</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征集科技成果数量（项）</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widowControl/>
              <w:jc w:val="center"/>
              <w:rPr>
                <w:rFonts w:ascii="仿宋" w:hAnsi="仿宋" w:eastAsia="仿宋" w:cs="仿宋"/>
                <w:color w:val="auto"/>
                <w:sz w:val="22"/>
                <w:szCs w:val="22"/>
              </w:rPr>
            </w:pPr>
            <w:r>
              <w:rPr>
                <w:rFonts w:ascii="仿宋" w:hAnsi="仿宋" w:eastAsia="仿宋" w:cs="仿宋"/>
                <w:color w:val="auto"/>
                <w:sz w:val="22"/>
                <w:szCs w:val="22"/>
              </w:rPr>
              <w:t>14</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发布技术需求数量（项）</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restart"/>
            <w:vAlign w:val="center"/>
          </w:tcPr>
          <w:p>
            <w:pPr>
              <w:widowControl/>
              <w:jc w:val="left"/>
              <w:rPr>
                <w:rFonts w:ascii="仿宋_GB2312" w:hAnsi="仿宋_GB2312" w:eastAsia="仿宋_GB2312" w:cs="仿宋_GB2312"/>
                <w:color w:val="auto"/>
                <w:sz w:val="24"/>
                <w:szCs w:val="24"/>
              </w:rPr>
            </w:pPr>
            <w:r>
              <w:rPr>
                <w:rFonts w:hint="eastAsia" w:ascii="黑体" w:hAnsi="黑体" w:eastAsia="黑体" w:cs="黑体"/>
                <w:bCs/>
                <w:color w:val="auto"/>
                <w:kern w:val="0"/>
                <w:sz w:val="24"/>
                <w:szCs w:val="24"/>
              </w:rPr>
              <w:t>技术转移服务机构</w:t>
            </w:r>
          </w:p>
        </w:tc>
        <w:tc>
          <w:tcPr>
            <w:tcW w:w="615" w:type="dxa"/>
            <w:vMerge w:val="restart"/>
            <w:vAlign w:val="center"/>
          </w:tcPr>
          <w:p>
            <w:pPr>
              <w:widowControl/>
              <w:jc w:val="left"/>
              <w:rPr>
                <w:rFonts w:ascii="仿宋" w:hAnsi="仿宋" w:eastAsia="仿宋" w:cs="仿宋"/>
                <w:color w:val="auto"/>
                <w:sz w:val="22"/>
                <w:szCs w:val="22"/>
              </w:rPr>
            </w:pPr>
            <w:r>
              <w:rPr>
                <w:rFonts w:ascii="仿宋" w:hAnsi="仿宋" w:eastAsia="仿宋" w:cs="仿宋"/>
                <w:color w:val="auto"/>
                <w:sz w:val="22"/>
                <w:szCs w:val="22"/>
              </w:rPr>
              <w:t>12%</w:t>
            </w:r>
          </w:p>
        </w:tc>
        <w:tc>
          <w:tcPr>
            <w:tcW w:w="519" w:type="dxa"/>
            <w:vAlign w:val="center"/>
          </w:tcPr>
          <w:p>
            <w:pPr>
              <w:widowControl/>
              <w:jc w:val="center"/>
              <w:rPr>
                <w:rFonts w:ascii="仿宋" w:hAnsi="仿宋" w:eastAsia="仿宋" w:cs="仿宋"/>
                <w:color w:val="auto"/>
                <w:sz w:val="22"/>
                <w:szCs w:val="22"/>
              </w:rPr>
            </w:pPr>
            <w:r>
              <w:rPr>
                <w:rFonts w:ascii="仿宋" w:hAnsi="仿宋" w:eastAsia="仿宋" w:cs="仿宋"/>
                <w:color w:val="auto"/>
                <w:sz w:val="22"/>
                <w:szCs w:val="22"/>
              </w:rPr>
              <w:t>15</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技术转移服务机构数量（家）</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widowControl/>
              <w:jc w:val="center"/>
              <w:rPr>
                <w:rFonts w:ascii="仿宋" w:hAnsi="仿宋" w:eastAsia="仿宋" w:cs="仿宋"/>
                <w:color w:val="auto"/>
                <w:sz w:val="22"/>
                <w:szCs w:val="22"/>
              </w:rPr>
            </w:pPr>
            <w:r>
              <w:rPr>
                <w:rFonts w:ascii="仿宋" w:hAnsi="仿宋" w:eastAsia="仿宋" w:cs="仿宋"/>
                <w:color w:val="auto"/>
                <w:sz w:val="22"/>
                <w:szCs w:val="22"/>
              </w:rPr>
              <w:t>16</w:t>
            </w:r>
          </w:p>
        </w:tc>
        <w:tc>
          <w:tcPr>
            <w:tcW w:w="5291" w:type="dxa"/>
            <w:vAlign w:val="center"/>
          </w:tcPr>
          <w:p>
            <w:pPr>
              <w:widowControl/>
              <w:jc w:val="left"/>
              <w:rPr>
                <w:rFonts w:ascii="仿宋" w:hAnsi="仿宋" w:eastAsia="仿宋" w:cs="仿宋"/>
                <w:color w:val="auto"/>
                <w:sz w:val="22"/>
                <w:szCs w:val="22"/>
              </w:rPr>
            </w:pPr>
            <w:r>
              <w:rPr>
                <w:rFonts w:hint="eastAsia" w:ascii="仿宋" w:hAnsi="仿宋" w:eastAsia="仿宋" w:cs="仿宋"/>
                <w:color w:val="auto"/>
                <w:sz w:val="22"/>
                <w:szCs w:val="22"/>
              </w:rPr>
              <w:t>省级技术转移服务机构数量（家）</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widowControl/>
              <w:jc w:val="center"/>
              <w:rPr>
                <w:rFonts w:ascii="仿宋" w:hAnsi="仿宋" w:eastAsia="仿宋" w:cs="仿宋"/>
                <w:color w:val="auto"/>
                <w:sz w:val="22"/>
                <w:szCs w:val="22"/>
              </w:rPr>
            </w:pPr>
            <w:r>
              <w:rPr>
                <w:rFonts w:ascii="仿宋" w:hAnsi="仿宋" w:eastAsia="仿宋" w:cs="仿宋"/>
                <w:color w:val="auto"/>
                <w:sz w:val="22"/>
                <w:szCs w:val="22"/>
              </w:rPr>
              <w:t>17</w:t>
            </w:r>
          </w:p>
        </w:tc>
        <w:tc>
          <w:tcPr>
            <w:tcW w:w="5291" w:type="dxa"/>
            <w:vAlign w:val="center"/>
          </w:tcPr>
          <w:p>
            <w:pPr>
              <w:adjustRightInd w:val="0"/>
              <w:snapToGrid w:val="0"/>
              <w:spacing w:line="340" w:lineRule="exact"/>
              <w:jc w:val="left"/>
              <w:rPr>
                <w:rFonts w:ascii="仿宋" w:hAnsi="仿宋" w:eastAsia="仿宋" w:cs="仿宋"/>
                <w:color w:val="auto"/>
                <w:sz w:val="22"/>
                <w:szCs w:val="22"/>
              </w:rPr>
            </w:pPr>
            <w:r>
              <w:rPr>
                <w:rFonts w:hint="eastAsia" w:ascii="仿宋" w:hAnsi="仿宋" w:eastAsia="仿宋" w:cs="仿宋"/>
                <w:color w:val="auto"/>
                <w:sz w:val="22"/>
                <w:szCs w:val="22"/>
              </w:rPr>
              <w:t>促成技术转移项目（项）</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widowControl/>
              <w:jc w:val="center"/>
              <w:rPr>
                <w:rFonts w:ascii="仿宋" w:hAnsi="仿宋" w:eastAsia="仿宋" w:cs="仿宋"/>
                <w:color w:val="auto"/>
                <w:sz w:val="22"/>
                <w:szCs w:val="22"/>
              </w:rPr>
            </w:pPr>
            <w:r>
              <w:rPr>
                <w:rFonts w:ascii="仿宋" w:hAnsi="仿宋" w:eastAsia="仿宋" w:cs="仿宋"/>
                <w:color w:val="auto"/>
                <w:sz w:val="22"/>
                <w:szCs w:val="22"/>
              </w:rPr>
              <w:t>18</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促成技术转移转化金额（万元）</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19</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组织技术对接活动（次）</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20</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服务企业数量（家）</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仿宋_GB2312" w:hAnsi="仿宋_GB2312" w:eastAsia="仿宋_GB2312" w:cs="仿宋_GB2312"/>
                <w:color w:val="auto"/>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21</w:t>
            </w:r>
          </w:p>
        </w:tc>
        <w:tc>
          <w:tcPr>
            <w:tcW w:w="5291" w:type="dxa"/>
            <w:vAlign w:val="center"/>
          </w:tcPr>
          <w:p>
            <w:pPr>
              <w:adjustRightInd w:val="0"/>
              <w:snapToGrid w:val="0"/>
              <w:spacing w:line="340" w:lineRule="exact"/>
              <w:rPr>
                <w:rFonts w:ascii="仿宋" w:hAnsi="仿宋" w:eastAsia="仿宋" w:cs="仿宋"/>
                <w:color w:val="auto"/>
                <w:sz w:val="22"/>
                <w:szCs w:val="22"/>
              </w:rPr>
            </w:pPr>
            <w:r>
              <w:rPr>
                <w:rFonts w:hint="eastAsia" w:ascii="仿宋" w:hAnsi="仿宋" w:eastAsia="仿宋" w:cs="仿宋"/>
                <w:color w:val="auto"/>
                <w:sz w:val="22"/>
                <w:szCs w:val="22"/>
              </w:rPr>
              <w:t>解决企业需求（项）</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restart"/>
            <w:vAlign w:val="center"/>
          </w:tcPr>
          <w:p>
            <w:pPr>
              <w:jc w:val="center"/>
              <w:rPr>
                <w:rFonts w:ascii="黑体" w:hAnsi="黑体" w:eastAsia="黑体" w:cs="黑体"/>
                <w:bCs/>
                <w:color w:val="auto"/>
                <w:kern w:val="0"/>
                <w:sz w:val="24"/>
                <w:szCs w:val="24"/>
              </w:rPr>
            </w:pPr>
          </w:p>
          <w:p>
            <w:pPr>
              <w:jc w:val="center"/>
              <w:rPr>
                <w:rFonts w:ascii="黑体" w:hAnsi="黑体" w:eastAsia="黑体" w:cs="黑体"/>
                <w:bCs/>
                <w:color w:val="auto"/>
                <w:kern w:val="0"/>
                <w:sz w:val="24"/>
                <w:szCs w:val="24"/>
              </w:rPr>
            </w:pPr>
            <w:r>
              <w:rPr>
                <w:rFonts w:hint="eastAsia" w:ascii="黑体" w:hAnsi="黑体" w:eastAsia="黑体" w:cs="黑体"/>
                <w:bCs/>
                <w:color w:val="auto"/>
                <w:kern w:val="0"/>
                <w:sz w:val="24"/>
                <w:szCs w:val="24"/>
              </w:rPr>
              <w:t>技术转移服务人才</w:t>
            </w:r>
          </w:p>
        </w:tc>
        <w:tc>
          <w:tcPr>
            <w:tcW w:w="615" w:type="dxa"/>
            <w:vMerge w:val="restart"/>
            <w:vAlign w:val="center"/>
          </w:tcPr>
          <w:p>
            <w:pPr>
              <w:spacing w:line="360" w:lineRule="auto"/>
              <w:jc w:val="center"/>
              <w:rPr>
                <w:rFonts w:ascii="仿宋" w:hAnsi="仿宋" w:eastAsia="仿宋" w:cs="仿宋"/>
                <w:color w:val="auto"/>
                <w:sz w:val="22"/>
                <w:szCs w:val="22"/>
              </w:rPr>
            </w:pPr>
            <w:r>
              <w:rPr>
                <w:rFonts w:ascii="仿宋" w:hAnsi="仿宋" w:eastAsia="仿宋" w:cs="仿宋"/>
                <w:color w:val="auto"/>
                <w:sz w:val="22"/>
                <w:szCs w:val="22"/>
              </w:rPr>
              <w:t>8%</w:t>
            </w: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22</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技术转移服务从业人员总人数</w:t>
            </w:r>
            <w:r>
              <w:rPr>
                <w:rFonts w:ascii="仿宋" w:hAnsi="仿宋" w:eastAsia="仿宋" w:cs="仿宋"/>
                <w:color w:val="auto"/>
                <w:sz w:val="22"/>
                <w:szCs w:val="22"/>
              </w:rPr>
              <w:t>(</w:t>
            </w:r>
            <w:r>
              <w:rPr>
                <w:rFonts w:hint="eastAsia" w:ascii="仿宋" w:hAnsi="仿宋" w:eastAsia="仿宋" w:cs="仿宋"/>
                <w:color w:val="auto"/>
                <w:sz w:val="22"/>
                <w:szCs w:val="22"/>
              </w:rPr>
              <w:t>人</w:t>
            </w:r>
            <w:r>
              <w:rPr>
                <w:rFonts w:ascii="仿宋" w:hAnsi="仿宋" w:eastAsia="仿宋" w:cs="仿宋"/>
                <w:color w:val="auto"/>
                <w:sz w:val="22"/>
                <w:szCs w:val="22"/>
              </w:rPr>
              <w:t>)</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23</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专职从业人员数量</w:t>
            </w:r>
            <w:r>
              <w:rPr>
                <w:rFonts w:ascii="仿宋" w:hAnsi="仿宋" w:eastAsia="仿宋" w:cs="仿宋"/>
                <w:color w:val="auto"/>
                <w:sz w:val="22"/>
                <w:szCs w:val="22"/>
              </w:rPr>
              <w:t>(</w:t>
            </w:r>
            <w:r>
              <w:rPr>
                <w:rFonts w:hint="eastAsia" w:ascii="仿宋" w:hAnsi="仿宋" w:eastAsia="仿宋" w:cs="仿宋"/>
                <w:color w:val="auto"/>
                <w:sz w:val="22"/>
                <w:szCs w:val="22"/>
              </w:rPr>
              <w:t>人</w:t>
            </w:r>
            <w:r>
              <w:rPr>
                <w:rFonts w:ascii="仿宋" w:hAnsi="仿宋" w:eastAsia="仿宋" w:cs="仿宋"/>
                <w:color w:val="auto"/>
                <w:sz w:val="22"/>
                <w:szCs w:val="22"/>
              </w:rPr>
              <w:t>)</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24</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专职从业人员数量占总从业人员比重</w:t>
            </w:r>
            <w:r>
              <w:rPr>
                <w:rFonts w:ascii="仿宋" w:hAnsi="仿宋" w:eastAsia="仿宋" w:cs="仿宋"/>
                <w:color w:val="auto"/>
                <w:sz w:val="22"/>
                <w:szCs w:val="22"/>
              </w:rPr>
              <w:t>(%)</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25</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技术经纪人（人）</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17" w:type="dxa"/>
            <w:vMerge w:val="continue"/>
            <w:vAlign w:val="center"/>
          </w:tcPr>
          <w:p>
            <w:pPr>
              <w:widowControl/>
              <w:jc w:val="left"/>
              <w:rPr>
                <w:rFonts w:ascii="黑体" w:hAnsi="黑体" w:eastAsia="黑体" w:cs="黑体"/>
                <w:bCs/>
                <w:color w:val="auto"/>
                <w:sz w:val="24"/>
                <w:szCs w:val="24"/>
              </w:rPr>
            </w:pPr>
          </w:p>
        </w:tc>
        <w:tc>
          <w:tcPr>
            <w:tcW w:w="533" w:type="dxa"/>
            <w:vMerge w:val="continue"/>
            <w:vAlign w:val="center"/>
          </w:tcPr>
          <w:p>
            <w:pPr>
              <w:widowControl/>
              <w:jc w:val="left"/>
              <w:rPr>
                <w:rFonts w:ascii="黑体" w:hAnsi="黑体" w:eastAsia="黑体" w:cs="黑体"/>
                <w:bCs/>
                <w:color w:val="auto"/>
                <w:kern w:val="0"/>
                <w:sz w:val="24"/>
                <w:szCs w:val="24"/>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26</w:t>
            </w:r>
          </w:p>
        </w:tc>
        <w:tc>
          <w:tcPr>
            <w:tcW w:w="5291" w:type="dxa"/>
            <w:vAlign w:val="center"/>
          </w:tcPr>
          <w:p>
            <w:pPr>
              <w:rPr>
                <w:rFonts w:ascii="仿宋" w:hAnsi="仿宋" w:eastAsia="仿宋" w:cs="仿宋"/>
                <w:color w:val="auto"/>
                <w:sz w:val="22"/>
                <w:szCs w:val="22"/>
              </w:rPr>
            </w:pPr>
            <w:r>
              <w:rPr>
                <w:rFonts w:hint="eastAsia" w:ascii="仿宋" w:hAnsi="仿宋" w:eastAsia="仿宋" w:cs="仿宋"/>
                <w:color w:val="auto"/>
                <w:sz w:val="22"/>
                <w:szCs w:val="22"/>
              </w:rPr>
              <w:t>技术经纪人占总从业人员比重（</w:t>
            </w:r>
            <w:r>
              <w:rPr>
                <w:rFonts w:ascii="仿宋" w:hAnsi="仿宋" w:eastAsia="仿宋" w:cs="仿宋"/>
                <w:color w:val="auto"/>
                <w:sz w:val="22"/>
                <w:szCs w:val="22"/>
              </w:rPr>
              <w:t>%</w:t>
            </w:r>
            <w:r>
              <w:rPr>
                <w:rFonts w:hint="eastAsia" w:ascii="仿宋" w:hAnsi="仿宋" w:eastAsia="仿宋" w:cs="仿宋"/>
                <w:color w:val="auto"/>
                <w:sz w:val="22"/>
                <w:szCs w:val="22"/>
              </w:rPr>
              <w:t>）</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917" w:type="dxa"/>
            <w:vMerge w:val="restart"/>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定</w:t>
            </w:r>
          </w:p>
          <w:p>
            <w:pPr>
              <w:jc w:val="center"/>
              <w:rPr>
                <w:rFonts w:ascii="黑体" w:hAnsi="黑体" w:eastAsia="黑体" w:cs="黑体"/>
                <w:bCs/>
                <w:color w:val="auto"/>
                <w:sz w:val="24"/>
                <w:szCs w:val="24"/>
              </w:rPr>
            </w:pPr>
            <w:r>
              <w:rPr>
                <w:rFonts w:hint="eastAsia" w:ascii="黑体" w:hAnsi="黑体" w:eastAsia="黑体" w:cs="黑体"/>
                <w:bCs/>
                <w:color w:val="auto"/>
                <w:sz w:val="24"/>
                <w:szCs w:val="24"/>
              </w:rPr>
              <w:t>性</w:t>
            </w:r>
          </w:p>
          <w:p>
            <w:pPr>
              <w:jc w:val="center"/>
              <w:rPr>
                <w:rFonts w:ascii="黑体" w:hAnsi="黑体" w:eastAsia="黑体" w:cs="黑体"/>
                <w:bCs/>
                <w:color w:val="auto"/>
                <w:sz w:val="24"/>
                <w:szCs w:val="24"/>
              </w:rPr>
            </w:pPr>
            <w:r>
              <w:rPr>
                <w:rFonts w:hint="eastAsia" w:ascii="黑体" w:hAnsi="黑体" w:eastAsia="黑体" w:cs="黑体"/>
                <w:bCs/>
                <w:color w:val="auto"/>
                <w:sz w:val="24"/>
                <w:szCs w:val="24"/>
              </w:rPr>
              <w:t>指</w:t>
            </w:r>
          </w:p>
          <w:p>
            <w:pPr>
              <w:jc w:val="center"/>
              <w:rPr>
                <w:rFonts w:ascii="黑体" w:hAnsi="黑体" w:eastAsia="黑体" w:cs="黑体"/>
                <w:bCs/>
                <w:color w:val="auto"/>
                <w:sz w:val="24"/>
                <w:szCs w:val="24"/>
              </w:rPr>
            </w:pPr>
            <w:r>
              <w:rPr>
                <w:rFonts w:hint="eastAsia" w:ascii="黑体" w:hAnsi="黑体" w:eastAsia="黑体" w:cs="黑体"/>
                <w:bCs/>
                <w:color w:val="auto"/>
                <w:sz w:val="24"/>
                <w:szCs w:val="24"/>
              </w:rPr>
              <w:t>标</w:t>
            </w:r>
          </w:p>
        </w:tc>
        <w:tc>
          <w:tcPr>
            <w:tcW w:w="533" w:type="dxa"/>
            <w:vMerge w:val="restart"/>
            <w:vAlign w:val="center"/>
          </w:tcPr>
          <w:p>
            <w:pPr>
              <w:jc w:val="center"/>
              <w:rPr>
                <w:rFonts w:ascii="黑体" w:hAnsi="黑体" w:eastAsia="黑体" w:cs="黑体"/>
                <w:bCs/>
                <w:color w:val="auto"/>
                <w:sz w:val="24"/>
                <w:szCs w:val="24"/>
              </w:rPr>
            </w:pPr>
            <w:r>
              <w:rPr>
                <w:rFonts w:hint="eastAsia" w:ascii="黑体" w:hAnsi="黑体" w:eastAsia="黑体" w:cs="黑体"/>
                <w:bCs/>
                <w:color w:val="auto"/>
                <w:sz w:val="24"/>
                <w:szCs w:val="24"/>
              </w:rPr>
              <w:t>工作</w:t>
            </w:r>
          </w:p>
          <w:p>
            <w:pPr>
              <w:jc w:val="center"/>
              <w:rPr>
                <w:rFonts w:ascii="仿宋_GB2312" w:hAnsi="仿宋_GB2312" w:eastAsia="仿宋_GB2312" w:cs="仿宋_GB2312"/>
                <w:color w:val="auto"/>
                <w:sz w:val="24"/>
                <w:szCs w:val="24"/>
              </w:rPr>
            </w:pPr>
            <w:r>
              <w:rPr>
                <w:rFonts w:hint="eastAsia" w:ascii="黑体" w:hAnsi="黑体" w:eastAsia="黑体" w:cs="黑体"/>
                <w:color w:val="auto"/>
                <w:sz w:val="24"/>
                <w:szCs w:val="24"/>
              </w:rPr>
              <w:t>开展</w:t>
            </w:r>
          </w:p>
        </w:tc>
        <w:tc>
          <w:tcPr>
            <w:tcW w:w="615" w:type="dxa"/>
            <w:vMerge w:val="restart"/>
            <w:vAlign w:val="center"/>
          </w:tcPr>
          <w:p>
            <w:pPr>
              <w:jc w:val="center"/>
              <w:rPr>
                <w:rFonts w:ascii="仿宋" w:hAnsi="仿宋" w:eastAsia="仿宋" w:cs="仿宋"/>
                <w:color w:val="auto"/>
                <w:sz w:val="22"/>
                <w:szCs w:val="22"/>
              </w:rPr>
            </w:pPr>
            <w:r>
              <w:rPr>
                <w:rFonts w:ascii="仿宋" w:hAnsi="仿宋" w:eastAsia="仿宋" w:cs="仿宋"/>
                <w:color w:val="auto"/>
                <w:sz w:val="22"/>
                <w:szCs w:val="22"/>
              </w:rPr>
              <w:t>20%</w:t>
            </w: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27</w:t>
            </w:r>
          </w:p>
        </w:tc>
        <w:tc>
          <w:tcPr>
            <w:tcW w:w="5291" w:type="dxa"/>
            <w:vAlign w:val="center"/>
          </w:tcPr>
          <w:p>
            <w:pPr>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科技成果转移转化相关政策</w:t>
            </w:r>
            <w:r>
              <w:rPr>
                <w:rFonts w:hint="eastAsia" w:ascii="仿宋" w:hAnsi="仿宋" w:eastAsia="仿宋" w:cs="仿宋"/>
                <w:color w:val="auto"/>
                <w:sz w:val="22"/>
                <w:szCs w:val="22"/>
                <w:lang w:eastAsia="zh-CN"/>
              </w:rPr>
              <w:t>制定及落实</w:t>
            </w:r>
            <w:r>
              <w:rPr>
                <w:rFonts w:hint="eastAsia" w:ascii="仿宋" w:hAnsi="仿宋" w:eastAsia="仿宋" w:cs="仿宋"/>
                <w:color w:val="auto"/>
                <w:sz w:val="22"/>
                <w:szCs w:val="22"/>
              </w:rPr>
              <w:t>情况。</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917" w:type="dxa"/>
            <w:vMerge w:val="continue"/>
            <w:vAlign w:val="center"/>
          </w:tcPr>
          <w:p>
            <w:pPr>
              <w:widowControl/>
              <w:jc w:val="left"/>
              <w:rPr>
                <w:rFonts w:ascii="黑体" w:hAnsi="黑体" w:eastAsia="黑体" w:cs="黑体"/>
                <w:bCs/>
                <w:color w:val="auto"/>
                <w:sz w:val="24"/>
              </w:rPr>
            </w:pPr>
          </w:p>
        </w:tc>
        <w:tc>
          <w:tcPr>
            <w:tcW w:w="533" w:type="dxa"/>
            <w:vMerge w:val="continue"/>
            <w:vAlign w:val="center"/>
          </w:tcPr>
          <w:p>
            <w:pPr>
              <w:widowControl/>
              <w:jc w:val="left"/>
              <w:rPr>
                <w:rFonts w:ascii="仿宋_GB2312" w:hAnsi="仿宋_GB2312" w:eastAsia="仿宋_GB2312" w:cs="仿宋_GB2312"/>
                <w:color w:val="auto"/>
                <w:szCs w:val="21"/>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28</w:t>
            </w:r>
          </w:p>
        </w:tc>
        <w:tc>
          <w:tcPr>
            <w:tcW w:w="5291" w:type="dxa"/>
            <w:vAlign w:val="center"/>
          </w:tcPr>
          <w:p>
            <w:pPr>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专门的科技成果转移转化管理机构建设情况。介绍科技成果转移转化管理机构名称（与公章一致），是否为独立机构，机构单位性质，是否有健全的管理体系。</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17" w:type="dxa"/>
            <w:vMerge w:val="continue"/>
            <w:vAlign w:val="center"/>
          </w:tcPr>
          <w:p>
            <w:pPr>
              <w:widowControl/>
              <w:jc w:val="left"/>
              <w:rPr>
                <w:rFonts w:ascii="黑体" w:hAnsi="黑体" w:eastAsia="黑体" w:cs="黑体"/>
                <w:bCs/>
                <w:color w:val="auto"/>
                <w:sz w:val="24"/>
              </w:rPr>
            </w:pPr>
          </w:p>
        </w:tc>
        <w:tc>
          <w:tcPr>
            <w:tcW w:w="533" w:type="dxa"/>
            <w:vMerge w:val="continue"/>
            <w:vAlign w:val="center"/>
          </w:tcPr>
          <w:p>
            <w:pPr>
              <w:widowControl/>
              <w:jc w:val="left"/>
              <w:rPr>
                <w:rFonts w:ascii="仿宋_GB2312" w:hAnsi="仿宋_GB2312" w:eastAsia="仿宋_GB2312" w:cs="仿宋_GB2312"/>
                <w:color w:val="auto"/>
                <w:szCs w:val="21"/>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29</w:t>
            </w:r>
          </w:p>
        </w:tc>
        <w:tc>
          <w:tcPr>
            <w:tcW w:w="5291" w:type="dxa"/>
            <w:vAlign w:val="center"/>
          </w:tcPr>
          <w:p>
            <w:pPr>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重大科技成果转移转化项目和产学研合作的典型案例。包括本地区产生重大经济社会效益的转移转化项目及举办的产学研合作项目对接活动、推进建设的产业技术创新战略联盟等。描述主要内容和成效。</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17" w:type="dxa"/>
            <w:vMerge w:val="continue"/>
            <w:vAlign w:val="center"/>
          </w:tcPr>
          <w:p>
            <w:pPr>
              <w:widowControl/>
              <w:jc w:val="left"/>
              <w:rPr>
                <w:rFonts w:ascii="黑体" w:hAnsi="黑体" w:eastAsia="黑体" w:cs="黑体"/>
                <w:bCs/>
                <w:color w:val="auto"/>
                <w:sz w:val="24"/>
              </w:rPr>
            </w:pPr>
          </w:p>
        </w:tc>
        <w:tc>
          <w:tcPr>
            <w:tcW w:w="533" w:type="dxa"/>
            <w:vMerge w:val="continue"/>
            <w:vAlign w:val="center"/>
          </w:tcPr>
          <w:p>
            <w:pPr>
              <w:widowControl/>
              <w:jc w:val="left"/>
              <w:rPr>
                <w:rFonts w:ascii="仿宋_GB2312" w:hAnsi="仿宋_GB2312" w:eastAsia="仿宋_GB2312" w:cs="仿宋_GB2312"/>
                <w:color w:val="auto"/>
                <w:szCs w:val="21"/>
              </w:rPr>
            </w:pPr>
          </w:p>
        </w:tc>
        <w:tc>
          <w:tcPr>
            <w:tcW w:w="615" w:type="dxa"/>
            <w:vMerge w:val="continue"/>
            <w:vAlign w:val="center"/>
          </w:tcPr>
          <w:p>
            <w:pPr>
              <w:widowControl/>
              <w:jc w:val="left"/>
              <w:rPr>
                <w:rFonts w:ascii="仿宋" w:hAnsi="仿宋" w:eastAsia="仿宋" w:cs="仿宋"/>
                <w:color w:val="auto"/>
                <w:sz w:val="22"/>
                <w:szCs w:val="22"/>
              </w:rPr>
            </w:pPr>
          </w:p>
        </w:tc>
        <w:tc>
          <w:tcPr>
            <w:tcW w:w="519" w:type="dxa"/>
            <w:vAlign w:val="center"/>
          </w:tcPr>
          <w:p>
            <w:pPr>
              <w:adjustRightInd w:val="0"/>
              <w:snapToGrid w:val="0"/>
              <w:spacing w:line="340" w:lineRule="exact"/>
              <w:jc w:val="center"/>
              <w:rPr>
                <w:rFonts w:ascii="仿宋" w:hAnsi="仿宋" w:eastAsia="仿宋" w:cs="仿宋"/>
                <w:color w:val="auto"/>
                <w:sz w:val="22"/>
                <w:szCs w:val="22"/>
              </w:rPr>
            </w:pPr>
            <w:r>
              <w:rPr>
                <w:rFonts w:ascii="仿宋" w:hAnsi="仿宋" w:eastAsia="仿宋" w:cs="仿宋"/>
                <w:color w:val="auto"/>
                <w:sz w:val="22"/>
                <w:szCs w:val="22"/>
              </w:rPr>
              <w:t>30</w:t>
            </w:r>
          </w:p>
        </w:tc>
        <w:tc>
          <w:tcPr>
            <w:tcW w:w="5291" w:type="dxa"/>
            <w:vAlign w:val="center"/>
          </w:tcPr>
          <w:p>
            <w:pPr>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本地区科技成果转移转化试点工作、经验做法。指按照《山东省人民政府关于加快全省技术转移体系建设的意见》要求，开展的值得在全省试点示范、宣传推广的促进本地区科技成果转移转化的各项特色工作、创新举措。描述主要内容和工作成效。</w:t>
            </w:r>
          </w:p>
        </w:tc>
        <w:tc>
          <w:tcPr>
            <w:tcW w:w="1088" w:type="dxa"/>
            <w:vAlign w:val="center"/>
          </w:tcPr>
          <w:p>
            <w:pPr>
              <w:jc w:val="center"/>
              <w:rPr>
                <w:rFonts w:ascii="仿宋" w:hAnsi="仿宋" w:eastAsia="仿宋" w:cs="仿宋"/>
                <w:color w:val="auto"/>
                <w:sz w:val="22"/>
                <w:szCs w:val="22"/>
              </w:rPr>
            </w:pPr>
            <w:r>
              <w:rPr>
                <w:rFonts w:ascii="仿宋" w:hAnsi="仿宋" w:eastAsia="仿宋" w:cs="仿宋"/>
                <w:color w:val="auto"/>
                <w:sz w:val="22"/>
                <w:szCs w:val="22"/>
              </w:rPr>
              <w:t>5</w:t>
            </w:r>
          </w:p>
        </w:tc>
      </w:tr>
    </w:tbl>
    <w:p>
      <w:pPr>
        <w:rPr>
          <w:rFonts w:hint="eastAsia" w:ascii="黑体" w:hAnsi="黑体" w:eastAsia="黑体" w:cs="黑体"/>
          <w:bCs/>
          <w:color w:val="auto"/>
          <w:sz w:val="32"/>
          <w:szCs w:val="32"/>
        </w:rPr>
      </w:pPr>
    </w:p>
    <w:p>
      <w:pPr>
        <w:rPr>
          <w:rFonts w:hint="eastAsia" w:ascii="黑体" w:hAnsi="黑体" w:eastAsia="黑体" w:cs="黑体"/>
          <w:bCs/>
          <w:color w:val="auto"/>
          <w:sz w:val="32"/>
          <w:szCs w:val="32"/>
        </w:rPr>
      </w:pPr>
    </w:p>
    <w:p>
      <w:pPr>
        <w:jc w:val="center"/>
        <w:rPr>
          <w:rFonts w:ascii="仿宋_GB2312" w:hAnsi="仿宋_GB2312" w:eastAsia="仿宋_GB2312" w:cs="仿宋_GB2312"/>
          <w:color w:val="auto"/>
          <w:sz w:val="32"/>
          <w:szCs w:val="32"/>
        </w:rPr>
      </w:pPr>
      <w:r>
        <w:rPr>
          <w:rFonts w:hint="eastAsia" w:ascii="黑体" w:hAnsi="黑体" w:eastAsia="黑体" w:cs="黑体"/>
          <w:bCs/>
          <w:color w:val="auto"/>
          <w:sz w:val="44"/>
          <w:szCs w:val="44"/>
        </w:rPr>
        <w:t>指标体系说明</w:t>
      </w:r>
    </w:p>
    <w:p>
      <w:p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定量</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部分共</w:t>
      </w:r>
      <w:r>
        <w:rPr>
          <w:rFonts w:ascii="仿宋_GB2312" w:hAnsi="仿宋_GB2312" w:eastAsia="仿宋_GB2312" w:cs="仿宋_GB2312"/>
          <w:color w:val="auto"/>
          <w:sz w:val="32"/>
          <w:szCs w:val="32"/>
        </w:rPr>
        <w:t>160</w:t>
      </w:r>
      <w:r>
        <w:rPr>
          <w:rFonts w:hint="eastAsia" w:ascii="仿宋_GB2312" w:hAnsi="仿宋_GB2312" w:eastAsia="仿宋_GB2312" w:cs="仿宋_GB2312"/>
          <w:color w:val="auto"/>
          <w:sz w:val="32"/>
          <w:szCs w:val="32"/>
        </w:rPr>
        <w:t>分，以各指标的平均值为基准，指标值为</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，则得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分，大于</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并低于平均值，则得到该指标分值的</w:t>
      </w:r>
      <w:r>
        <w:rPr>
          <w:rFonts w:ascii="仿宋_GB2312" w:hAnsi="仿宋_GB2312" w:eastAsia="仿宋_GB2312" w:cs="仿宋_GB2312"/>
          <w:color w:val="auto"/>
          <w:sz w:val="32"/>
          <w:szCs w:val="32"/>
        </w:rPr>
        <w:t>50%</w:t>
      </w:r>
      <w:r>
        <w:rPr>
          <w:rFonts w:hint="eastAsia" w:ascii="仿宋_GB2312" w:hAnsi="仿宋_GB2312" w:eastAsia="仿宋_GB2312" w:cs="仿宋_GB2312"/>
          <w:color w:val="auto"/>
          <w:sz w:val="32"/>
          <w:szCs w:val="32"/>
        </w:rPr>
        <w:t>，达到平均值，则得到该指标分值的</w:t>
      </w:r>
      <w:r>
        <w:rPr>
          <w:rFonts w:ascii="仿宋_GB2312" w:hAnsi="仿宋_GB2312" w:eastAsia="仿宋_GB2312" w:cs="仿宋_GB2312"/>
          <w:color w:val="auto"/>
          <w:sz w:val="32"/>
          <w:szCs w:val="32"/>
        </w:rPr>
        <w:t>75%</w:t>
      </w:r>
      <w:r>
        <w:rPr>
          <w:rFonts w:hint="eastAsia" w:ascii="仿宋_GB2312" w:hAnsi="仿宋_GB2312" w:eastAsia="仿宋_GB2312" w:cs="仿宋_GB2312"/>
          <w:color w:val="auto"/>
          <w:sz w:val="32"/>
          <w:szCs w:val="32"/>
        </w:rPr>
        <w:t>，达到最优值前三名，则得到该指标分值的</w:t>
      </w:r>
      <w:r>
        <w:rPr>
          <w:rFonts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rPr>
        <w:t>。定性</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部分共</w:t>
      </w:r>
      <w:r>
        <w:rPr>
          <w:rFonts w:ascii="仿宋_GB2312" w:hAnsi="仿宋_GB2312" w:eastAsia="仿宋_GB2312" w:cs="仿宋_GB2312"/>
          <w:color w:val="auto"/>
          <w:sz w:val="32"/>
          <w:szCs w:val="32"/>
        </w:rPr>
        <w:t>40</w:t>
      </w:r>
      <w:r>
        <w:rPr>
          <w:rFonts w:hint="eastAsia" w:ascii="仿宋_GB2312" w:hAnsi="仿宋_GB2312" w:eastAsia="仿宋_GB2312" w:cs="仿宋_GB2312"/>
          <w:color w:val="auto"/>
          <w:sz w:val="32"/>
          <w:szCs w:val="32"/>
        </w:rPr>
        <w:t>分，专家组在全面考核的基础上，根据各项</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指标权重，坚持客观、公正的原则，采取科学的打分方法给出得分。总分为定量指标分值加定性指标分值。</w:t>
      </w:r>
    </w:p>
    <w:p>
      <w:pPr>
        <w:ind w:firstLine="64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技术合同输出金额、吸纳金额根据各年度省统计分析情况得出，原始数据来源于全国技术合同认定登记系统。</w:t>
      </w:r>
      <w:r>
        <w:rPr>
          <w:rFonts w:ascii="仿宋_GB2312" w:hAnsi="仿宋_GB2312" w:eastAsia="仿宋_GB2312" w:cs="仿宋_GB2312"/>
          <w:color w:val="auto"/>
          <w:sz w:val="32"/>
          <w:szCs w:val="32"/>
        </w:rPr>
        <w:t>GDP</w:t>
      </w:r>
      <w:r>
        <w:rPr>
          <w:rFonts w:hint="eastAsia" w:ascii="仿宋_GB2312" w:hAnsi="仿宋_GB2312" w:eastAsia="仿宋_GB2312" w:cs="仿宋_GB2312"/>
          <w:color w:val="auto"/>
          <w:sz w:val="32"/>
          <w:szCs w:val="32"/>
        </w:rPr>
        <w:t>是指按市场价格计算的地区所有常住单位在一定时期内生产活动的最终成果，以权威统计部门公开发布的数据为准。</w:t>
      </w:r>
    </w:p>
    <w:p>
      <w:pPr>
        <w:ind w:firstLine="64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科技成果转移转化管理部门人数是指县级党委、政府领导下的机关、事业单位中从事科技成果转移转化政策制定落实、活动开展、服务机构建设、人员培养、合同登记等技术转移工作的人员总数。</w:t>
      </w:r>
    </w:p>
    <w:p>
      <w:pPr>
        <w:ind w:firstLine="64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基层科技成果转移转化人才是指在县处级以下部门从事技术转移工作的人员，包括基层农技人员、科技特派员、大学生村官、扶贫第一书记等。</w:t>
      </w:r>
    </w:p>
    <w:p>
      <w:pPr>
        <w:ind w:firstLine="64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技术转移平台指为方便供需双方对接打造的交易对接平台，可提供信息展示、供需对接、中介服务等基本功能，包括线上平台和线下实体平台。</w:t>
      </w:r>
    </w:p>
    <w:p>
      <w:pPr>
        <w:ind w:firstLine="64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技术转移服务机构是指在省内注册，以促进科技成果转化为目的，为促成他人技术交易而从事的居间、经纪或代理活动并取得合理佣金，依法成立的法人机构或高校、科研院所内设技术转移专门机构。</w:t>
      </w:r>
    </w:p>
    <w:p>
      <w:pPr>
        <w:ind w:firstLine="64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省级技术转移服务机构按照《山东省支持培育技术转移服务机构补助资金管理办法》（鲁科字〔</w:t>
      </w:r>
      <w:r>
        <w:rPr>
          <w:rFonts w:ascii="仿宋_GB2312" w:hAnsi="仿宋_GB2312" w:eastAsia="仿宋_GB2312" w:cs="仿宋_GB2312"/>
          <w:color w:val="auto"/>
          <w:sz w:val="32"/>
          <w:szCs w:val="32"/>
        </w:rPr>
        <w:t>2019</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54</w:t>
      </w:r>
      <w:r>
        <w:rPr>
          <w:rFonts w:hint="eastAsia" w:ascii="仿宋_GB2312" w:hAnsi="仿宋_GB2312" w:eastAsia="仿宋_GB2312" w:cs="仿宋_GB2312"/>
          <w:color w:val="auto"/>
          <w:sz w:val="32"/>
          <w:szCs w:val="32"/>
        </w:rPr>
        <w:t>号）进行评价，以省科技厅网站公布结果为准。</w:t>
      </w:r>
    </w:p>
    <w:p>
      <w:pPr>
        <w:ind w:firstLine="64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促成技术转移项目指组织技术交易活动，组织实施政府的技术转移专项，组织重大科技计划项目成果的技术转移，以及其它成交技术转移项目数量。</w:t>
      </w:r>
    </w:p>
    <w:p>
      <w:pPr>
        <w:ind w:firstLine="64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服务企业数量指接受过机构提供某项服务的企业数量。若某企业接受过多项或多次服务，仍按一个企业计数。</w:t>
      </w:r>
    </w:p>
    <w:p>
      <w:pPr>
        <w:ind w:firstLine="64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技术转移服务从业人员指机关、事业单位、企业等从事技术转移服务工作的全体人员。</w:t>
      </w:r>
    </w:p>
    <w:p>
      <w:pPr>
        <w:ind w:firstLine="640"/>
        <w:rPr>
          <w:color w:val="auto"/>
        </w:rPr>
      </w:pPr>
      <w:r>
        <w:rPr>
          <w:rFonts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eastAsia="zh-CN"/>
        </w:rPr>
        <w:t>.</w:t>
      </w:r>
      <w:bookmarkStart w:id="0" w:name="_GoBack"/>
      <w:bookmarkEnd w:id="0"/>
      <w:r>
        <w:rPr>
          <w:rFonts w:hint="eastAsia" w:ascii="仿宋_GB2312" w:hAnsi="仿宋_GB2312" w:eastAsia="仿宋_GB2312" w:cs="仿宋_GB2312"/>
          <w:color w:val="auto"/>
          <w:sz w:val="32"/>
          <w:szCs w:val="32"/>
        </w:rPr>
        <w:t>技术经纪人指在技术市场中，以促进科技成果转移转化为目的，为促成他人技术交易而从事中介居间、经纪或代理等，并取得合理佣金的自然人，以取得技术经纪人证书或技术经纪人培训结业证书为准。</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4278D"/>
    <w:rsid w:val="1024278D"/>
    <w:rsid w:val="42A63FB6"/>
    <w:rsid w:val="68E54FF3"/>
    <w:rsid w:val="6B0972CD"/>
    <w:rsid w:val="7E8B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1716</Words>
  <Characters>1795</Characters>
  <Lines>0</Lines>
  <Paragraphs>0</Paragraphs>
  <TotalTime>30</TotalTime>
  <ScaleCrop>false</ScaleCrop>
  <LinksUpToDate>false</LinksUpToDate>
  <CharactersWithSpaces>1824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2022-04-07T06:42:00Z</dcterms:created>
  <dc:creator>知了猴</dc:creator>
  <cp:lastModifiedBy>知了猴</cp:lastModifiedBy>
  <cp:lastPrinted>2022-04-11T01:48:56Z</cp:lastPrinted>
  <dcterms:modified xsi:type="dcterms:W3CDTF">2022-04-11T01:48:58Z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CCC73BE8AC094E64A61F9289EAB715D8</vt:lpwstr>
  </property>
</Properties>
</file>