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rPr>
          <w:rFonts w:ascii="黑体" w:hAnsi="黑体" w:eastAsia="黑体"/>
          <w:bCs/>
          <w:snapToGrid/>
          <w:kern w:val="2"/>
          <w:szCs w:val="32"/>
        </w:rPr>
      </w:pPr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  <w:r>
        <w:rPr>
          <w:rFonts w:hint="eastAsia" w:ascii="黑体" w:hAnsi="黑体" w:eastAsia="黑体"/>
          <w:bCs/>
          <w:snapToGrid/>
          <w:kern w:val="2"/>
          <w:szCs w:val="32"/>
          <w:lang w:val="en-US" w:eastAsia="zh-CN"/>
        </w:rPr>
        <w:t>3</w:t>
      </w:r>
      <w:r>
        <w:rPr>
          <w:rFonts w:hint="eastAsia" w:ascii="黑体" w:hAnsi="黑体" w:eastAsia="黑体"/>
          <w:bCs/>
          <w:snapToGrid/>
          <w:kern w:val="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napToGrid/>
          <w:kern w:val="2"/>
          <w:sz w:val="10"/>
          <w:szCs w:val="10"/>
        </w:rPr>
      </w:pP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</w:rPr>
        <w:t>变更实验动物许可证名单（</w:t>
      </w: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  <w:lang w:eastAsia="zh-CN"/>
        </w:rPr>
        <w:t>2021年第十批</w:t>
      </w: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2"/>
        <w:tblW w:w="13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21"/>
        <w:gridCol w:w="2590"/>
        <w:gridCol w:w="987"/>
        <w:gridCol w:w="2647"/>
        <w:gridCol w:w="4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5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21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59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98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4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487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napToGrid/>
                <w:kern w:val="2"/>
                <w:sz w:val="24"/>
                <w:szCs w:val="24"/>
              </w:rPr>
              <w:t>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  <w:jc w:val="center"/>
        </w:trPr>
        <w:tc>
          <w:tcPr>
            <w:tcW w:w="753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adjustRightInd w:val="0"/>
              <w:spacing w:line="240" w:lineRule="auto"/>
              <w:ind w:leftChars="0"/>
              <w:jc w:val="both"/>
              <w:rPr>
                <w:rFonts w:hint="eastAsia" w:ascii="Times New Roman" w:hAnsi="Times New Roman" w:eastAsia="宋体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napToGrid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SYXK(鲁)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590" w:type="dxa"/>
            <w:vAlign w:val="center"/>
          </w:tcPr>
          <w:p>
            <w:pPr>
              <w:widowControl/>
              <w:spacing w:line="360" w:lineRule="auto"/>
              <w:ind w:firstLine="0"/>
              <w:jc w:val="both"/>
              <w:textAlignment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青岛海关技术中心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360" w:lineRule="auto"/>
              <w:ind w:firstLine="0"/>
              <w:jc w:val="both"/>
              <w:textAlignment w:val="bottom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梁成珠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360" w:lineRule="auto"/>
              <w:ind w:firstLine="0"/>
              <w:jc w:val="both"/>
              <w:textAlignment w:val="bottom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山东省青岛市城阳区新悦路与岙东路交叉口</w:t>
            </w:r>
          </w:p>
        </w:tc>
        <w:tc>
          <w:tcPr>
            <w:tcW w:w="4879" w:type="dxa"/>
            <w:vAlign w:val="center"/>
          </w:tcPr>
          <w:p>
            <w:pPr>
              <w:widowControl/>
              <w:spacing w:line="360" w:lineRule="auto"/>
              <w:ind w:firstLine="0"/>
              <w:jc w:val="both"/>
              <w:textAlignment w:val="bottom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法定代表人由“梁成珠”变更为“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李德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”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E3C06"/>
    <w:rsid w:val="49741EDA"/>
    <w:rsid w:val="6B6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2021-12-13T03:28:00Z</dcterms:created>
  <dc:creator>CH</dc:creator>
  <cp:lastModifiedBy>CH</cp:lastModifiedBy>
  <dcterms:modified xsi:type="dcterms:W3CDTF">2021-12-13T03:28:43Z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