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1A605">
      <w:pPr>
        <w:overflowPunct w:val="0"/>
        <w:autoSpaceDE/>
        <w:autoSpaceDN/>
        <w:spacing w:line="58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附件1</w:t>
      </w:r>
    </w:p>
    <w:p w14:paraId="7851F2DA">
      <w:pPr>
        <w:pStyle w:val="2"/>
        <w:keepNext w:val="0"/>
        <w:keepLines w:val="0"/>
        <w:overflowPunct w:val="0"/>
        <w:autoSpaceDE/>
        <w:autoSpaceDN/>
        <w:spacing w:before="0" w:after="0" w:line="580" w:lineRule="exact"/>
        <w:rPr>
          <w:rFonts w:ascii="Times New Roman" w:hAnsi="Times New Roman" w:cs="Times New Roman"/>
          <w:sz w:val="44"/>
          <w:szCs w:val="44"/>
        </w:rPr>
      </w:pPr>
      <w:r>
        <w:rPr>
          <w:rFonts w:ascii="Times New Roman" w:hAnsi="Times New Roman" w:cs="Times New Roman"/>
          <w:sz w:val="44"/>
          <w:szCs w:val="44"/>
        </w:rPr>
        <w:t>山东省省级“先拨后股”科技项目</w:t>
      </w:r>
    </w:p>
    <w:p w14:paraId="0F10443A">
      <w:pPr>
        <w:pStyle w:val="2"/>
        <w:keepNext w:val="0"/>
        <w:keepLines w:val="0"/>
        <w:overflowPunct w:val="0"/>
        <w:autoSpaceDE/>
        <w:autoSpaceDN/>
        <w:spacing w:before="0" w:after="0" w:line="580" w:lineRule="exact"/>
        <w:rPr>
          <w:rFonts w:ascii="Times New Roman" w:hAnsi="Times New Roman" w:cs="Times New Roman"/>
          <w:sz w:val="44"/>
          <w:szCs w:val="44"/>
        </w:rPr>
      </w:pPr>
      <w:r>
        <w:rPr>
          <w:rFonts w:ascii="Times New Roman" w:hAnsi="Times New Roman" w:cs="Times New Roman"/>
          <w:sz w:val="44"/>
          <w:szCs w:val="44"/>
        </w:rPr>
        <w:t>管理实施细则</w:t>
      </w:r>
    </w:p>
    <w:p w14:paraId="3E7DBD60">
      <w:pPr>
        <w:overflowPunct w:val="0"/>
        <w:autoSpaceDE/>
        <w:autoSpaceDN/>
        <w:spacing w:line="580" w:lineRule="exact"/>
        <w:jc w:val="center"/>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lang w:val="en-US" w:eastAsia="zh-CN"/>
        </w:rPr>
        <w:t>征求意见</w:t>
      </w:r>
      <w:r>
        <w:rPr>
          <w:rFonts w:ascii="Times New Roman" w:hAnsi="Times New Roman" w:eastAsia="楷体_GB2312"/>
          <w:sz w:val="32"/>
          <w:szCs w:val="32"/>
        </w:rPr>
        <w:t>稿）</w:t>
      </w:r>
    </w:p>
    <w:p w14:paraId="5B836069">
      <w:pPr>
        <w:pStyle w:val="4"/>
        <w:overflowPunct w:val="0"/>
        <w:autoSpaceDE/>
        <w:autoSpaceDN/>
        <w:spacing w:after="0" w:line="580" w:lineRule="exact"/>
        <w:jc w:val="center"/>
        <w:rPr>
          <w:rFonts w:ascii="Times New Roman" w:hAnsi="Times New Roman" w:eastAsia="黑体" w:cs="Times New Roman"/>
          <w:sz w:val="28"/>
          <w:szCs w:val="28"/>
        </w:rPr>
      </w:pPr>
    </w:p>
    <w:p w14:paraId="4CD889A2">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w:t>
      </w:r>
      <w:bookmarkStart w:id="7" w:name="_GoBack"/>
      <w:bookmarkEnd w:id="7"/>
      <w:r>
        <w:rPr>
          <w:rFonts w:ascii="Times New Roman" w:hAnsi="Times New Roman" w:eastAsia="黑体" w:cs="Times New Roman"/>
          <w:sz w:val="32"/>
          <w:szCs w:val="32"/>
        </w:rPr>
        <w:t>则</w:t>
      </w:r>
    </w:p>
    <w:p w14:paraId="0A101E46">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第一条</w:t>
      </w:r>
      <w:r>
        <w:rPr>
          <w:rFonts w:ascii="Times New Roman" w:hAnsi="Times New Roman" w:eastAsia="仿宋_GB2312" w:cs="Times New Roman"/>
          <w:b/>
          <w:sz w:val="32"/>
          <w:szCs w:val="32"/>
        </w:rPr>
        <w:t xml:space="preserve"> </w:t>
      </w:r>
      <w:r>
        <w:rPr>
          <w:rFonts w:ascii="Times New Roman" w:hAnsi="Times New Roman" w:eastAsia="仿宋_GB2312" w:cs="Times New Roman"/>
          <w:b/>
          <w:bCs/>
          <w:sz w:val="32"/>
          <w:szCs w:val="32"/>
        </w:rPr>
        <w:t>目标定位。</w:t>
      </w:r>
      <w:r>
        <w:rPr>
          <w:rFonts w:ascii="Times New Roman" w:hAnsi="Times New Roman" w:eastAsia="仿宋_GB2312" w:cs="Times New Roman"/>
          <w:sz w:val="32"/>
          <w:szCs w:val="32"/>
        </w:rPr>
        <w:t>为深化科技体制改革，发挥财政科技股权投资引导带动作用，聚焦“投早、投小”，挖掘并助力早期科技成果转化项目，引导社会资本关注早期科技型企业，带动各类创新资源向其集聚，为区域经济高质量发展注入新动能，制定本细则。</w:t>
      </w:r>
    </w:p>
    <w:p w14:paraId="7A398188">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第二条 概念释义。</w:t>
      </w:r>
      <w:r>
        <w:rPr>
          <w:rFonts w:ascii="Times New Roman" w:hAnsi="Times New Roman" w:eastAsia="仿宋_GB2312" w:cs="Times New Roman"/>
          <w:sz w:val="32"/>
          <w:szCs w:val="32"/>
        </w:rPr>
        <w:t>“先拨后股”是指针对特定的科技成果转化项目，先期以扶持科技项目为目的，拨付创新主体一定的财政资金。在被支持主体发展情况触发约定的市场化股权融资或其他转股条件后，将所</w:t>
      </w:r>
      <w:r>
        <w:rPr>
          <w:rFonts w:hint="eastAsia" w:ascii="Times New Roman" w:hAnsi="Times New Roman" w:eastAsia="仿宋_GB2312" w:cs="Times New Roman"/>
          <w:sz w:val="32"/>
          <w:szCs w:val="32"/>
          <w:lang w:val="en-US" w:eastAsia="zh-CN"/>
        </w:rPr>
        <w:t>拨</w:t>
      </w:r>
      <w:r>
        <w:rPr>
          <w:rFonts w:ascii="Times New Roman" w:hAnsi="Times New Roman" w:eastAsia="仿宋_GB2312" w:cs="Times New Roman"/>
          <w:sz w:val="32"/>
          <w:szCs w:val="32"/>
        </w:rPr>
        <w:t>的财政资金转化为“股权”。财政资金投资形成的股权，按照“适当收益”原则逐步退出。</w:t>
      </w:r>
    </w:p>
    <w:p w14:paraId="30DA116A">
      <w:pPr>
        <w:pStyle w:val="4"/>
        <w:overflowPunct w:val="0"/>
        <w:autoSpaceDE/>
        <w:autoSpaceDN/>
        <w:spacing w:after="0"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第三条 支持对象。</w:t>
      </w:r>
    </w:p>
    <w:p w14:paraId="191A76C0">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（一）支持科技成果转化模式</w:t>
      </w:r>
    </w:p>
    <w:p w14:paraId="57943993">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具有高成长性、发展前景良好的早期、初创期科技型企业；</w:t>
      </w:r>
    </w:p>
    <w:p w14:paraId="28080C3D">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“创新积分制”和“科融信”增信评价通过的企业；</w:t>
      </w:r>
    </w:p>
    <w:p w14:paraId="2E55C945">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企业与高校、科研院所合作，通过购买专利、联合研发等方式进行成果转化；</w:t>
      </w:r>
    </w:p>
    <w:p w14:paraId="77C1FD68">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其他科技人才创业团队，以自有科技成果设立企业进行成果转化；</w:t>
      </w:r>
    </w:p>
    <w:p w14:paraId="5238B974">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优先支持符合主导产业领域，经过概念验证、专业机构论证的，科研能力强、成长属性高的科研项目；</w:t>
      </w:r>
    </w:p>
    <w:p w14:paraId="1B806328">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优先支持处于从实验室到生产线的中间阶段，需要二次开发、成果熟化、小试中试、产业化的新技术、新产品、新工艺、新材料、新品种及其系统等，包括但不限于科技计划项目产出成果、山东科技大市场及“山东好成果” 等平台遴选发布的重大科技成果，以及省外高校科研院所落地山东的科研成果。</w:t>
      </w:r>
    </w:p>
    <w:p w14:paraId="1EC854A6">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（二）项目申报单位需符合的条件</w:t>
      </w:r>
    </w:p>
    <w:p w14:paraId="323753D2">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项目申报单位是在我省依法注册、纳税，且具备独立法人资格的科技型企业；</w:t>
      </w:r>
    </w:p>
    <w:p w14:paraId="7B774E5A">
      <w:pPr>
        <w:pStyle w:val="4"/>
        <w:overflowPunct w:val="0"/>
        <w:autoSpaceDE/>
        <w:autoSpaceDN/>
        <w:spacing w:after="0" w:line="58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2. 以自有科技成果设立企业进行成果转化，企业成立时间不超过5年，企业与高校、科研院所合作进行成果转化，企业申报时净资产不低于200万元（含），且</w:t>
      </w:r>
      <w:bookmarkStart w:id="0" w:name="_Hlk212489580"/>
      <w:r>
        <w:rPr>
          <w:rFonts w:ascii="Times New Roman" w:hAnsi="Times New Roman" w:eastAsia="仿宋_GB2312" w:cs="Times New Roman"/>
          <w:sz w:val="32"/>
          <w:szCs w:val="32"/>
        </w:rPr>
        <w:t>企业上一年度营业收入未超过2000万元</w:t>
      </w:r>
      <w:bookmarkEnd w:id="0"/>
      <w:r>
        <w:rPr>
          <w:rFonts w:ascii="Times New Roman" w:hAnsi="Times New Roman" w:eastAsia="仿宋_GB2312" w:cs="Times New Roman"/>
          <w:sz w:val="32"/>
          <w:szCs w:val="32"/>
        </w:rPr>
        <w:t>（含）；</w:t>
      </w:r>
    </w:p>
    <w:p w14:paraId="7F2773F2">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申报企业创始股东实缴资金原则上不低于申报项目预期总投入的10%；</w:t>
      </w:r>
    </w:p>
    <w:p w14:paraId="50D9C26C">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项目符合我省产业发展方向，具有良好的开发价值及产业化前景，商业计划及技术路线清晰，实施方案合理；</w:t>
      </w:r>
    </w:p>
    <w:p w14:paraId="0AEF009C">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项目相关知识产权权属清晰，不存在争议和纠纷；</w:t>
      </w:r>
    </w:p>
    <w:p w14:paraId="629B4F02">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项目负责人具有坚韧的创业精神和一定的技术服务和产品开发经验，对产品市场前景有清晰的认知，无违法失信和不良科研诚信记录，未纳入“失信联合惩戒对象名单”，无影响项目实施的未决诉讼；</w:t>
      </w:r>
    </w:p>
    <w:p w14:paraId="450E30E8">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 项目申报单位或技术核心团队拥有经认定登记的技术合同，给予优先支持；</w:t>
      </w:r>
    </w:p>
    <w:p w14:paraId="653EDCD9">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 支持对象为科研团队的，须以其自有科技成果进行转化，并在协议约定时限内在山东省注册成立企业作为被投主体。</w:t>
      </w:r>
    </w:p>
    <w:p w14:paraId="0AD49AB9">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支持措施</w:t>
      </w:r>
    </w:p>
    <w:p w14:paraId="213DAC9D">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第四条 支持方式。</w:t>
      </w:r>
      <w:r>
        <w:rPr>
          <w:rFonts w:ascii="Times New Roman" w:hAnsi="Times New Roman" w:eastAsia="仿宋_GB2312" w:cs="Times New Roman"/>
          <w:sz w:val="32"/>
          <w:szCs w:val="32"/>
        </w:rPr>
        <w:t>由省科技厅作为“先拨后股”中“先拨”阶段的管理主体，由财政科技股权投资被注资机构或其指定的受托机构（以下简称投资管理机构）作为“后股”阶段中转换并持有股权的主体。“先拨”阶段省科技厅按程序以科技项目立项形式给予支持，“后股”阶段省科技厅、投资管理机构与项目承担单位在约定同意基础上，签订《项目合同书》和《股权投资协议》，明确约定后期转化为股权的具体条件、持股数量、股权转让方式、行权期限（一般为3年，原则上不超过5年）、退出机制等关键性条款。投资管理机构另行签署无偿认购协议，明确具体投资方案。财政资金投入创新主体后，应在约定年限内完成项目验收。未达到验收条件的，经省科技厅审批同意后可延期，最长不超过1年。</w:t>
      </w:r>
    </w:p>
    <w:p w14:paraId="642EF99F">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第五条 资金来源。</w:t>
      </w:r>
      <w:r>
        <w:rPr>
          <w:rFonts w:ascii="Times New Roman" w:hAnsi="Times New Roman" w:eastAsia="仿宋_GB2312" w:cs="Times New Roman"/>
          <w:sz w:val="32"/>
          <w:szCs w:val="32"/>
        </w:rPr>
        <w:t>“先拨后股”项目资金在省级科技创新发展资金中统筹安排。省科技厅将“先拨后股”项目纳入省科技计划项目支持，鼓励有条件的市安排资金予以跟进支持。积极引导金融机构及社会资本参与投资。“先拨后股”资金在转股前按照科技计划项目经费使用规定管理，转股后由投资管理机构按照国有股权管理相关规定执行。</w:t>
      </w:r>
    </w:p>
    <w:p w14:paraId="0FD0F47C">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第六条 支持标准。</w:t>
      </w:r>
      <w:r>
        <w:rPr>
          <w:rFonts w:ascii="Times New Roman" w:hAnsi="Times New Roman" w:eastAsia="仿宋_GB2312" w:cs="Times New Roman"/>
          <w:sz w:val="32"/>
          <w:szCs w:val="32"/>
        </w:rPr>
        <w:t>单个项目省级财政支持资金原则上不超过该成果转化项目预期总投入的50%，且金额一般不超过500万元。支持资金转股后，投资管理机构原则上不成为被投企业第一大股东，持股比例不超过25%。</w:t>
      </w:r>
    </w:p>
    <w:p w14:paraId="10BB2C65">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第七条 转股条件。</w:t>
      </w:r>
      <w:r>
        <w:rPr>
          <w:rFonts w:ascii="Times New Roman" w:hAnsi="Times New Roman" w:eastAsia="仿宋_GB2312" w:cs="Times New Roman"/>
          <w:sz w:val="32"/>
          <w:szCs w:val="32"/>
        </w:rPr>
        <w:t>项目支持资金拨付至项目承担企业后，达到以下条件之一，即认定为达到转股条件：</w:t>
      </w:r>
    </w:p>
    <w:p w14:paraId="0935B82B">
      <w:pPr>
        <w:pStyle w:val="4"/>
        <w:overflowPunct w:val="0"/>
        <w:autoSpaceDE/>
        <w:autoSpaceDN/>
        <w:spacing w:after="0"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pacing w:val="12"/>
          <w:sz w:val="32"/>
          <w:szCs w:val="32"/>
        </w:rPr>
        <w:t>省级财政资金支持后获得市场化融资且金额不低</w:t>
      </w:r>
      <w:r>
        <w:rPr>
          <w:rFonts w:ascii="Times New Roman" w:hAnsi="Times New Roman" w:eastAsia="仿宋_GB2312" w:cs="Times New Roman"/>
          <w:sz w:val="32"/>
          <w:szCs w:val="32"/>
        </w:rPr>
        <w:t>于300万</w:t>
      </w:r>
      <w:r>
        <w:rPr>
          <w:rFonts w:ascii="Times New Roman" w:hAnsi="Times New Roman" w:eastAsia="仿宋_GB2312" w:cs="Times New Roman"/>
          <w:bCs/>
          <w:sz w:val="32"/>
          <w:szCs w:val="32"/>
        </w:rPr>
        <w:t>元；</w:t>
      </w:r>
    </w:p>
    <w:p w14:paraId="12B22389">
      <w:pPr>
        <w:pStyle w:val="4"/>
        <w:overflowPunct w:val="0"/>
        <w:autoSpaceDE/>
        <w:autoSpaceDN/>
        <w:spacing w:after="0"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w:t>
      </w:r>
      <w:r>
        <w:rPr>
          <w:rFonts w:ascii="Times New Roman" w:hAnsi="Times New Roman" w:eastAsia="仿宋_GB2312" w:cs="Times New Roman"/>
          <w:spacing w:val="12"/>
          <w:sz w:val="32"/>
          <w:szCs w:val="32"/>
        </w:rPr>
        <w:t>省级财政资金支持期内累计实现营业收入超过</w:t>
      </w:r>
      <w:r>
        <w:rPr>
          <w:rFonts w:ascii="Times New Roman" w:hAnsi="Times New Roman" w:eastAsia="仿宋_GB2312" w:cs="Times New Roman"/>
          <w:bCs/>
          <w:sz w:val="32"/>
          <w:szCs w:val="32"/>
        </w:rPr>
        <w:t>5000万元；</w:t>
      </w:r>
    </w:p>
    <w:p w14:paraId="01AB55AF">
      <w:pPr>
        <w:pStyle w:val="4"/>
        <w:overflowPunct w:val="0"/>
        <w:autoSpaceDE/>
        <w:autoSpaceDN/>
        <w:spacing w:after="0"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（三）通过项目验收后提出转股申请且经省科技厅、省财政厅、投资管理机构同意；</w:t>
      </w:r>
    </w:p>
    <w:p w14:paraId="70AF869D">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（四）其他经省科技厅审批认定的情况。</w:t>
      </w:r>
    </w:p>
    <w:p w14:paraId="35578FD4">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达到转股条件（一）或（二）即视为项目验收通过，不再对该项目组织验收。</w:t>
      </w:r>
    </w:p>
    <w:p w14:paraId="2CB106F8">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第八条 资金使用。</w:t>
      </w:r>
      <w:r>
        <w:rPr>
          <w:rFonts w:ascii="Times New Roman" w:hAnsi="Times New Roman" w:eastAsia="仿宋_GB2312" w:cs="Times New Roman"/>
          <w:bCs/>
          <w:sz w:val="32"/>
          <w:szCs w:val="32"/>
        </w:rPr>
        <w:t>《项目合同书》《股权投资协议》另有约定的，从其约定。在行权期限内，企业不得减资。</w:t>
      </w:r>
      <w:r>
        <w:rPr>
          <w:rFonts w:ascii="Times New Roman" w:hAnsi="Times New Roman" w:eastAsia="仿宋_GB2312" w:cs="Times New Roman"/>
          <w:sz w:val="32"/>
          <w:szCs w:val="32"/>
        </w:rPr>
        <w:t>项目验收未通过的，结余和未按规定使用的资金，按程序予以收回。</w:t>
      </w:r>
    </w:p>
    <w:p w14:paraId="61D8316A">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职责分工</w:t>
      </w:r>
    </w:p>
    <w:p w14:paraId="627AFEC2">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第九条 省财政厅职责。</w:t>
      </w:r>
      <w:r>
        <w:rPr>
          <w:rFonts w:ascii="Times New Roman" w:hAnsi="Times New Roman" w:eastAsia="仿宋_GB2312" w:cs="Times New Roman"/>
          <w:sz w:val="32"/>
          <w:szCs w:val="32"/>
        </w:rPr>
        <w:t>负责在省级科技创新发展资金年度预算规模内，协同配置“先拨后股”项目资金预算，经决策机构审定后，对投资管理机构实施注资；组织指导预算绩效管理工作。</w:t>
      </w:r>
    </w:p>
    <w:p w14:paraId="767D6AC4">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第十条 省科技厅职责。</w:t>
      </w:r>
      <w:r>
        <w:rPr>
          <w:rFonts w:ascii="Times New Roman" w:hAnsi="Times New Roman" w:eastAsia="仿宋_GB2312" w:cs="Times New Roman"/>
          <w:sz w:val="32"/>
          <w:szCs w:val="32"/>
        </w:rPr>
        <w:t>负责预算编制及执行和预算绩效管理，组织开展项目申报、审核、立项、签约等工作，做好专项资金拨付工作，下达股权投资资金分配文件；对项目实施情况进行监管，组织项目验收；参与对投资管理机构的考核评价；审批投资管理机构提出的转股建议、投后管理重大事项。</w:t>
      </w:r>
    </w:p>
    <w:p w14:paraId="23D17EF7">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第十一条 设区市科技局职责。</w:t>
      </w:r>
      <w:r>
        <w:rPr>
          <w:rFonts w:ascii="Times New Roman" w:hAnsi="Times New Roman" w:eastAsia="仿宋_GB2312" w:cs="Times New Roman"/>
          <w:sz w:val="32"/>
          <w:szCs w:val="32"/>
        </w:rPr>
        <w:t>负责本辖区内“先拨后股”项目的征集、初审和推荐工作，负责审核申报材料的真实性、合规性；协调解决项目实施过程中出现的问题；协助省科技厅开展过程管理、绩效评价、监督检查和项目验收等工作；视项目进展和实际情况，适时提出项目调整建议；协助投资管理机构开展属地企业投后服务工作。</w:t>
      </w:r>
    </w:p>
    <w:p w14:paraId="4425F11C">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第十二条 投资管理机构职责。</w:t>
      </w:r>
      <w:r>
        <w:rPr>
          <w:rFonts w:ascii="Times New Roman" w:hAnsi="Times New Roman" w:eastAsia="仿宋_GB2312" w:cs="Times New Roman"/>
          <w:sz w:val="32"/>
          <w:szCs w:val="32"/>
        </w:rPr>
        <w:t>负责项目尽调、价值评估等工作，跟踪项目进展，对达到转股条件的企业，及时核查并提出转股建议报省科技厅审批，按协议约定完成转股操作。在“后股”阶段，作为持股主体，负责持股管理、风险防控、股权退出、收益管理等工作。定期向省科技厅、省财政厅报送科技股权项目投资报告和科技股权项目管理报告。</w:t>
      </w:r>
    </w:p>
    <w:p w14:paraId="6B7FA172">
      <w:pPr>
        <w:pStyle w:val="4"/>
        <w:overflowPunct w:val="0"/>
        <w:autoSpaceDE/>
        <w:autoSpaceDN/>
        <w:spacing w:after="0" w:line="580" w:lineRule="exact"/>
        <w:ind w:firstLine="643" w:firstLineChars="200"/>
        <w:jc w:val="left"/>
        <w:rPr>
          <w:rFonts w:ascii="Times New Roman" w:hAnsi="Times New Roman" w:eastAsia="黑体" w:cs="Times New Roman"/>
          <w:sz w:val="32"/>
          <w:szCs w:val="32"/>
        </w:rPr>
      </w:pPr>
      <w:r>
        <w:rPr>
          <w:rFonts w:ascii="Times New Roman" w:hAnsi="Times New Roman" w:eastAsia="仿宋_GB2312" w:cs="Times New Roman"/>
          <w:b/>
          <w:bCs/>
          <w:sz w:val="32"/>
          <w:szCs w:val="32"/>
        </w:rPr>
        <w:t>第十三条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b/>
          <w:bCs/>
          <w:sz w:val="32"/>
          <w:szCs w:val="32"/>
        </w:rPr>
        <w:t>项目承担单位职责。</w:t>
      </w:r>
      <w:r>
        <w:rPr>
          <w:rFonts w:ascii="Times New Roman" w:hAnsi="Times New Roman" w:eastAsia="仿宋_GB2312" w:cs="Times New Roman"/>
          <w:sz w:val="32"/>
          <w:szCs w:val="32"/>
        </w:rPr>
        <w:t>按照项目合同书、投资协议等保障项目顺利实施，严格执行项目和经费管理规定，对项目目标任务完成、财政资金使用负直接责任；配合开展项目过程管理、绩效评价、监督等工作，及时报告重大成果或重大事项，按要求报送项目进展、资金使用等有关情况；履行科研诚信承诺制度，健全内部管理制度等。</w:t>
      </w:r>
    </w:p>
    <w:p w14:paraId="54B72C4B">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工作程序</w:t>
      </w:r>
    </w:p>
    <w:p w14:paraId="16DB0EF0">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第十四条 协议约定。</w:t>
      </w:r>
      <w:r>
        <w:rPr>
          <w:rFonts w:ascii="Times New Roman" w:hAnsi="Times New Roman" w:eastAsia="仿宋_GB2312" w:cs="Times New Roman"/>
          <w:sz w:val="32"/>
          <w:szCs w:val="32"/>
        </w:rPr>
        <w:t>省财政厅、省科技厅与投资管理机构在《省级财政资金股权投资协议》中，明确各方权责、管理要求、考核机制等。</w:t>
      </w:r>
    </w:p>
    <w:p w14:paraId="7AC27C0A">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第十五条 项目征集。</w:t>
      </w:r>
      <w:r>
        <w:rPr>
          <w:rFonts w:ascii="Times New Roman" w:hAnsi="Times New Roman" w:eastAsia="仿宋_GB2312" w:cs="Times New Roman"/>
          <w:sz w:val="32"/>
          <w:szCs w:val="32"/>
        </w:rPr>
        <w:t>省科技厅定期发布“先拨后股”项目申报通知，明确申报条件，面向全省公开征集项目。</w:t>
      </w:r>
    </w:p>
    <w:p w14:paraId="24706078">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第十六条 申报与推荐。</w:t>
      </w:r>
      <w:r>
        <w:rPr>
          <w:rFonts w:ascii="Times New Roman" w:hAnsi="Times New Roman" w:eastAsia="仿宋_GB2312" w:cs="Times New Roman"/>
          <w:sz w:val="32"/>
          <w:szCs w:val="32"/>
        </w:rPr>
        <w:t>申报单位按通知要求编制《山东省科技股权“先拨后股”项目申请书》及相关附件材料，申报材料提交至企业注册地县（区）科技局；县（区）科技局对申报材料进行初审，符合条件的推荐至设区市科技局；设区市科技局对推荐项目进行审核，汇总并行文推荐至省科技厅。省属投资机构、山东科技大市场可通过驻地设区市科技局推荐项目。</w:t>
      </w:r>
    </w:p>
    <w:p w14:paraId="19251039">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第十七条 项目评审。</w:t>
      </w:r>
      <w:r>
        <w:rPr>
          <w:rFonts w:ascii="Times New Roman" w:hAnsi="Times New Roman" w:eastAsia="仿宋_GB2312" w:cs="Times New Roman"/>
          <w:sz w:val="32"/>
          <w:szCs w:val="32"/>
        </w:rPr>
        <w:t>省科技厅对推荐项目进行形式审查，组织专家或委托专业机构，对通过形式审查的项目进行技术评审。评审重点包括：项目技术先进性、创新性与成熟度；项目必要性、可行性及市场前景；企业研发能力、管理及研发团队和财务状况；预期经济社会效益；支撑省级战略的能力。</w:t>
      </w:r>
    </w:p>
    <w:p w14:paraId="06C4E0A9">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第十八条 项目立项与资金下达。</w:t>
      </w:r>
      <w:r>
        <w:rPr>
          <w:rFonts w:ascii="Times New Roman" w:hAnsi="Times New Roman" w:eastAsia="仿宋_GB2312" w:cs="Times New Roman"/>
          <w:sz w:val="32"/>
          <w:szCs w:val="32"/>
        </w:rPr>
        <w:t>省科技厅根据评审结果，按程序对拟立项项目进行公示，公示无异议后予以立项，向项目承担单位下达立项通知和资金分配文件。省科技厅、投资管理机构与项目承担单位签订《项目合同书》和《股权投资协议》。项目签约后，根据项目合同书约定，省科技厅将资金拨付至项目承担单位，项目承担单位按项目合同书约定组织实施。该阶段资金性质为项目扶持资金，由省科技厅指导投资管理机构参与项目管理和赋能。</w:t>
      </w:r>
    </w:p>
    <w:p w14:paraId="372A5FC2">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第十九条 项目实施与过程管理。</w:t>
      </w:r>
      <w:r>
        <w:rPr>
          <w:rFonts w:ascii="Times New Roman" w:hAnsi="Times New Roman" w:eastAsia="仿宋_GB2312" w:cs="Times New Roman"/>
          <w:sz w:val="32"/>
          <w:szCs w:val="32"/>
        </w:rPr>
        <w:t>投资管理机构、设区市科技局根据工作职责对项目承担单位进行跟踪管理赋能。项目实施期满（或达到协议约定的阶段性目标），由省科技厅组织或委托投资管理机构、第三方机构进行验收。验收结果作为后续股权处置、绩效评价和容错免责的重要依据。对提前完成《项目合同书》约定的验收指标且已实现转股的企业不再进行专门的项目验收。</w:t>
      </w:r>
    </w:p>
    <w:p w14:paraId="5B994FBB">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第二十条 股权转化（行权）。</w:t>
      </w:r>
      <w:r>
        <w:rPr>
          <w:rFonts w:ascii="Times New Roman" w:hAnsi="Times New Roman" w:eastAsia="仿宋_GB2312" w:cs="Times New Roman"/>
          <w:sz w:val="32"/>
          <w:szCs w:val="32"/>
        </w:rPr>
        <w:t>当项目承担单位达到《项目合同书》和《股权投资协议》约定的转股条件后，投资管理机构应核查企业经营情况并择机提出转股建议，报省科技厅审批。经批准后，投资管理机构按照协议约定，在行权期内以增资或股权转让等形式完成股权投资转化。或根据协议约定，将认股权转让给其他合格投资方。达到转股条件但拒绝转股的，已拨付财政资金须在20个工作日内按原渠道退回。</w:t>
      </w:r>
    </w:p>
    <w:p w14:paraId="65CD3476">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第二十一条 投后管理。</w:t>
      </w:r>
      <w:r>
        <w:rPr>
          <w:rFonts w:ascii="Times New Roman" w:hAnsi="Times New Roman" w:eastAsia="仿宋_GB2312" w:cs="Times New Roman"/>
          <w:sz w:val="32"/>
          <w:szCs w:val="32"/>
        </w:rPr>
        <w:t>完成股权投资转化后，由投资管理机构行使股东权利，依据《股权投资协议》和公司章程，参与被投资企业重大决策，提供赋能支持。建立健全投后管理体系，定期跟踪项目进展、企业经营和财务状况，进行风险评估。定期向省财政厅、省科技厅报告，发现重大风险隐患时，及时预警并采取有效措施。</w:t>
      </w:r>
    </w:p>
    <w:p w14:paraId="29D2A4EB">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第二十二条 股权退出。</w:t>
      </w:r>
      <w:r>
        <w:rPr>
          <w:rFonts w:ascii="Times New Roman" w:hAnsi="Times New Roman" w:eastAsia="仿宋_GB2312" w:cs="Times New Roman"/>
          <w:sz w:val="32"/>
          <w:szCs w:val="32"/>
        </w:rPr>
        <w:t>达到投资协议约定的投资年限、实现约定的技术突破、产业化成功、达到一定营收或利润指标、成功上市等投资目标，或触发协议约定的提前退出条款时，启动退出程序。由投资管理机构根据市场情况、企业状况和协议约定，制定具体退出方案，报省科技厅批准后实施，并报省财政厅备案。</w:t>
      </w:r>
    </w:p>
    <w:p w14:paraId="1864DDED">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第二十三条 资本金使用。</w:t>
      </w:r>
      <w:r>
        <w:rPr>
          <w:rFonts w:ascii="Times New Roman" w:hAnsi="Times New Roman" w:eastAsia="仿宋_GB2312" w:cs="Times New Roman"/>
          <w:sz w:val="32"/>
          <w:szCs w:val="32"/>
        </w:rPr>
        <w:t>收回的投资本金，投资管理机构报省财政厅、省科技厅同意后，按照股权投资计划要求滚动使用；获得的投资收益（含年度分红、股息、股利等）按企业会计准则进行核算，并按照有关规定上缴国有资本收益。</w:t>
      </w:r>
    </w:p>
    <w:p w14:paraId="206163EE">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监督管理与保障措施</w:t>
      </w:r>
    </w:p>
    <w:p w14:paraId="5889295A">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第二十四条 监督管理。</w:t>
      </w:r>
      <w:r>
        <w:rPr>
          <w:rFonts w:ascii="Times New Roman" w:hAnsi="Times New Roman" w:eastAsia="仿宋_GB2312"/>
          <w:sz w:val="32"/>
          <w:szCs w:val="32"/>
        </w:rPr>
        <w:t>投资管理机构、项目承担单位应切实强化内部控制，优化完善风险防控机制，积极配合审计、财政、科技等部门的监督检查。对项目资金管理使用过程中存在违规、违纪、违法行为的，按照国家有关法律法规规定严肃处理。</w:t>
      </w:r>
    </w:p>
    <w:p w14:paraId="4CB29341">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第二十五条 绩效评价与容错机制。</w:t>
      </w:r>
      <w:r>
        <w:rPr>
          <w:rFonts w:ascii="Times New Roman" w:hAnsi="Times New Roman" w:eastAsia="仿宋_GB2312" w:cs="Times New Roman"/>
          <w:sz w:val="32"/>
          <w:szCs w:val="32"/>
        </w:rPr>
        <w:t>省科技厅组织投资管理机构、项目承担单位进行绩效评价，省财政厅负责组织指导预算绩效管理工作。建立股权投资管理运作容错免责机制，对投资管理机构、项目承担单位已履行勤勉尽责义务、备案相关事项，但由于客观因素未达到预期目标或出现投资损失的，在绩效评价时予以剔除。</w:t>
      </w:r>
    </w:p>
    <w:p w14:paraId="75D50862">
      <w:pPr>
        <w:pStyle w:val="4"/>
        <w:overflowPunct w:val="0"/>
        <w:autoSpaceDE/>
        <w:autoSpaceDN/>
        <w:spacing w:after="0"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第二十六条 项目撤销、变更、终止。</w:t>
      </w:r>
    </w:p>
    <w:p w14:paraId="6E3AD048">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（一）在“先拨”阶段，项目承担单位不得进行变更。若出现项目负责人变更或其他重大变化情况，项目承担单位应及时向设区市科技局提交书面申请，经省科技厅审核批准后，项目方可继续实施。</w:t>
      </w:r>
    </w:p>
    <w:p w14:paraId="7B7BD266">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（二）若出现以下情形导致项目无法完成，项目承担单位应主动向设区市科技局申请撤销项目，停止研发活动，进行损失核销，核销后结余资金按原渠道退回：</w:t>
      </w:r>
    </w:p>
    <w:p w14:paraId="40B1264A">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因不可抗力因素致使项目无法继续实施；</w:t>
      </w:r>
    </w:p>
    <w:p w14:paraId="1B32B8F0">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因项目研究开发的关键技术已被他人公开、市场发生重大变化等原因，致使项目研究开发工作失去意义；</w:t>
      </w:r>
    </w:p>
    <w:p w14:paraId="288ECE0C">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因项目负责人死亡、重大伤残、因公出国（境）、工作调动等原因，导致项目无法推进，且无合适的项目负责人可替代；</w:t>
      </w:r>
    </w:p>
    <w:p w14:paraId="14409672">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项目承担单位发生重大经营困难、兼并重组等变故，无法继续实施项目；</w:t>
      </w:r>
    </w:p>
    <w:p w14:paraId="198CAA9C">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其他导致项目无法正常实施的情形。</w:t>
      </w:r>
    </w:p>
    <w:p w14:paraId="1A26F6CB">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（三）若出现以下情形之一，科技管理部门可强制终止项目，向项目承担单位发出项目终止书面通知，并依据科研诚信管理相关规定进行处置，项目承担单位应返还已拨付的全部财政性资金：</w:t>
      </w:r>
    </w:p>
    <w:p w14:paraId="0F012C32">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财政性资金拨付6个月后，项目仍未实质性开展；</w:t>
      </w:r>
    </w:p>
    <w:p w14:paraId="74D30AF6">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经核实，项目承担单位或项目负责人发生重大变故但未及时上报，或因违法犯罪等原因导致项目无法继续实施；</w:t>
      </w:r>
    </w:p>
    <w:p w14:paraId="4EBA5A6A">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发生知识产权纠纷或者侵权行为，经调解等方式仍无法解决，导致项目无法继续实施；</w:t>
      </w:r>
    </w:p>
    <w:p w14:paraId="272BFBB5">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经核实，在项目申报、项目实施过程中存在违纪违规和弄虚作假行为；</w:t>
      </w:r>
    </w:p>
    <w:p w14:paraId="5E11D6CE">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 其他导致项目无法继续实施的情况。 </w:t>
      </w:r>
    </w:p>
    <w:p w14:paraId="45B52450">
      <w:pPr>
        <w:pStyle w:val="4"/>
        <w:overflowPunct w:val="0"/>
        <w:autoSpaceDE/>
        <w:autoSpaceDN/>
        <w:spacing w:after="0"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第二十七条 保障支持措施。</w:t>
      </w:r>
    </w:p>
    <w:p w14:paraId="6F2D5426">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鼓励社会化资金参与。支持社会化机构参与项目筛选、实地考察、尽职调查、风险控制及投后管理。鼓励社会化资金出资参与“先拨后股”项目，对于社会化资金承诺出资且金额高于省级科技项目支持资金的项目，可优先予以立项。</w:t>
      </w:r>
    </w:p>
    <w:p w14:paraId="3C9EDCDD">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服务企业快速发展。完善科技金融服务体系，重点支持项目承担单位。投资管理机构应协助项目承担单位规范法人治理和内部管理、对接政府和相关行业协会政策及产业资源、丰富拓展融资渠道，并以优惠条件提供自身运营的各类专业服务（如空间、孵化、咨询等）。成功转股的企业申报省级科技计划项目时，在同等条件下给予优先支持。</w:t>
      </w:r>
    </w:p>
    <w:p w14:paraId="1562F281">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（三）丰富股权退出渠道。充分利用区域性股权市场、产权交易市场等多层次资本市场功能，拓宽财政股权退出渠道。探索通过股权置换、资产证券化等方式，创新股权项目退出路径。</w:t>
      </w:r>
    </w:p>
    <w:p w14:paraId="7316C210">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 附则</w:t>
      </w:r>
    </w:p>
    <w:p w14:paraId="1B25B29E">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第二十八条</w:t>
      </w:r>
      <w:r>
        <w:rPr>
          <w:rFonts w:ascii="Times New Roman" w:hAnsi="Times New Roman" w:eastAsia="仿宋_GB2312" w:cs="Times New Roman"/>
          <w:sz w:val="32"/>
          <w:szCs w:val="32"/>
        </w:rPr>
        <w:t xml:space="preserve"> 本细则由省科技厅会同省财政厅负责解释。</w:t>
      </w:r>
    </w:p>
    <w:p w14:paraId="41534D59">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第二十九条 施行日期与有效期。</w:t>
      </w:r>
      <w:r>
        <w:rPr>
          <w:rFonts w:ascii="Times New Roman" w:hAnsi="Times New Roman" w:eastAsia="仿宋_GB2312" w:cs="Times New Roman"/>
          <w:sz w:val="32"/>
          <w:szCs w:val="32"/>
        </w:rPr>
        <w:t>本细则自发布之日起施行，有效期至2028年12月31日。根据实施情况适时评估修订。原《山东省省级“先投后股”科技项目管理实施细则》同时废止。</w:t>
      </w:r>
    </w:p>
    <w:p w14:paraId="4B1720DF">
      <w:pPr>
        <w:widowControl w:val="0"/>
        <w:spacing w:line="580" w:lineRule="exact"/>
        <w:jc w:val="left"/>
        <w:rPr>
          <w:rFonts w:ascii="Times New Roman" w:hAnsi="Times New Roman" w:eastAsia="楷体_GB2312"/>
          <w:sz w:val="32"/>
          <w:szCs w:val="32"/>
        </w:rPr>
      </w:pPr>
      <w:r>
        <w:rPr>
          <w:rFonts w:ascii="Times New Roman" w:hAnsi="Times New Roman" w:eastAsia="楷体_GB2312"/>
          <w:sz w:val="32"/>
          <w:szCs w:val="32"/>
        </w:rPr>
        <w:br w:type="page"/>
      </w:r>
    </w:p>
    <w:p w14:paraId="218D141C">
      <w:pPr>
        <w:overflowPunct w:val="0"/>
        <w:autoSpaceDE/>
        <w:autoSpaceDN/>
        <w:spacing w:line="580" w:lineRule="exact"/>
        <w:jc w:val="left"/>
        <w:rPr>
          <w:rFonts w:ascii="Times New Roman" w:hAnsi="Times New Roman" w:eastAsia="黑体"/>
          <w:sz w:val="28"/>
          <w:szCs w:val="28"/>
        </w:rPr>
      </w:pPr>
    </w:p>
    <w:p w14:paraId="1E1C5792">
      <w:pPr>
        <w:pStyle w:val="2"/>
        <w:keepNext w:val="0"/>
        <w:keepLines w:val="0"/>
        <w:overflowPunct w:val="0"/>
        <w:autoSpaceDE/>
        <w:autoSpaceDN/>
        <w:spacing w:before="0" w:after="0" w:line="580" w:lineRule="exact"/>
        <w:rPr>
          <w:rFonts w:ascii="Times New Roman" w:hAnsi="Times New Roman" w:cs="Times New Roman"/>
          <w:sz w:val="44"/>
          <w:szCs w:val="44"/>
        </w:rPr>
      </w:pPr>
      <w:r>
        <w:rPr>
          <w:rFonts w:ascii="Times New Roman" w:hAnsi="Times New Roman" w:cs="Times New Roman"/>
          <w:sz w:val="44"/>
          <w:szCs w:val="44"/>
        </w:rPr>
        <w:t>山东省省级“拨投结合”科技项目</w:t>
      </w:r>
    </w:p>
    <w:p w14:paraId="4BBE43F1">
      <w:pPr>
        <w:pStyle w:val="2"/>
        <w:keepNext w:val="0"/>
        <w:keepLines w:val="0"/>
        <w:overflowPunct w:val="0"/>
        <w:autoSpaceDE/>
        <w:autoSpaceDN/>
        <w:spacing w:before="0" w:after="0" w:line="580" w:lineRule="exact"/>
        <w:rPr>
          <w:rFonts w:ascii="Times New Roman" w:hAnsi="Times New Roman" w:cs="Times New Roman"/>
          <w:sz w:val="44"/>
          <w:szCs w:val="44"/>
        </w:rPr>
      </w:pPr>
      <w:r>
        <w:rPr>
          <w:rFonts w:ascii="Times New Roman" w:hAnsi="Times New Roman" w:cs="Times New Roman"/>
          <w:sz w:val="44"/>
          <w:szCs w:val="44"/>
        </w:rPr>
        <w:t>管理实施细则</w:t>
      </w:r>
    </w:p>
    <w:p w14:paraId="58372404">
      <w:pPr>
        <w:overflowPunct w:val="0"/>
        <w:autoSpaceDE/>
        <w:autoSpaceDN/>
        <w:spacing w:line="580" w:lineRule="exact"/>
        <w:jc w:val="center"/>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lang w:val="en-US" w:eastAsia="zh-CN"/>
        </w:rPr>
        <w:t>征求意见</w:t>
      </w:r>
      <w:r>
        <w:rPr>
          <w:rFonts w:ascii="Times New Roman" w:hAnsi="Times New Roman" w:eastAsia="楷体_GB2312"/>
          <w:sz w:val="32"/>
          <w:szCs w:val="32"/>
        </w:rPr>
        <w:t>稿）</w:t>
      </w:r>
    </w:p>
    <w:p w14:paraId="1CDE6BF4">
      <w:pPr>
        <w:overflowPunct w:val="0"/>
        <w:autoSpaceDE/>
        <w:autoSpaceDN/>
        <w:spacing w:line="580" w:lineRule="exact"/>
        <w:jc w:val="center"/>
        <w:rPr>
          <w:rFonts w:ascii="Times New Roman" w:hAnsi="Times New Roman" w:eastAsia="楷体_GB2312"/>
          <w:color w:val="000000" w:themeColor="text1"/>
          <w:kern w:val="44"/>
          <w:sz w:val="32"/>
          <w:szCs w:val="32"/>
        </w:rPr>
      </w:pPr>
    </w:p>
    <w:p w14:paraId="162361B0">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 则</w:t>
      </w:r>
    </w:p>
    <w:p w14:paraId="7C66C574">
      <w:pPr>
        <w:overflowPunct w:val="0"/>
        <w:autoSpaceDE/>
        <w:autoSpaceDN/>
        <w:spacing w:line="58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sz w:val="32"/>
          <w:szCs w:val="32"/>
        </w:rPr>
        <w:t>第一条 目标定位。</w:t>
      </w:r>
      <w:r>
        <w:rPr>
          <w:rFonts w:ascii="Times New Roman" w:hAnsi="Times New Roman" w:eastAsia="仿宋_GB2312"/>
          <w:color w:val="000000" w:themeColor="text1"/>
          <w:sz w:val="32"/>
          <w:szCs w:val="32"/>
        </w:rPr>
        <w:t>为深化科技体制改革，创新科技资金投入模式，促进科技与金融深度融合，以省级财政资金拨付和投资管理机构股权投资联动的方式，为企业提供双重支持，特制定本细则。</w:t>
      </w:r>
    </w:p>
    <w:p w14:paraId="348C8D07">
      <w:pPr>
        <w:shd w:val="clear" w:color="auto" w:fill="FFFFFF"/>
        <w:overflowPunct w:val="0"/>
        <w:autoSpaceDE/>
        <w:autoSpaceDN/>
        <w:spacing w:line="580" w:lineRule="exact"/>
        <w:ind w:firstLine="643" w:firstLineChars="200"/>
        <w:rPr>
          <w:rFonts w:ascii="Times New Roman" w:hAnsi="Times New Roman" w:eastAsia="仿宋_GB2312"/>
          <w:b/>
          <w:bCs/>
          <w:color w:val="000000" w:themeColor="text1"/>
          <w:sz w:val="32"/>
          <w:szCs w:val="32"/>
        </w:rPr>
      </w:pPr>
      <w:r>
        <w:rPr>
          <w:rFonts w:ascii="Times New Roman" w:hAnsi="Times New Roman" w:eastAsia="仿宋_GB2312"/>
          <w:b/>
          <w:bCs/>
          <w:sz w:val="32"/>
          <w:szCs w:val="32"/>
        </w:rPr>
        <w:t>第二条 概念释义。</w:t>
      </w:r>
      <w:r>
        <w:rPr>
          <w:rFonts w:ascii="Times New Roman" w:hAnsi="Times New Roman" w:eastAsia="仿宋_GB2312"/>
          <w:sz w:val="32"/>
          <w:szCs w:val="32"/>
        </w:rPr>
        <w:t>“拨投结合”科技项目（以下简称项目）是指省科技厅以“拨”的形式将省级财政资金拨付至项目承担企业（以下简称项目企业），财政科技股权投资被注资机构或其指定的受托机构（以下简称投资管理机构）对项目企业进行股权投资，相应股权按照“适当收益”原则逐步退出的一类科技计划。</w:t>
      </w:r>
    </w:p>
    <w:p w14:paraId="2C0E604A">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第三条 支持对象。</w:t>
      </w:r>
      <w:r>
        <w:rPr>
          <w:rFonts w:ascii="Times New Roman" w:hAnsi="Times New Roman" w:eastAsia="仿宋_GB2312"/>
          <w:color w:val="000000" w:themeColor="text1"/>
          <w:sz w:val="32"/>
          <w:szCs w:val="32"/>
        </w:rPr>
        <w:t>重点支持</w:t>
      </w:r>
      <w:r>
        <w:rPr>
          <w:rFonts w:ascii="Times New Roman" w:hAnsi="Times New Roman" w:eastAsia="仿宋_GB2312"/>
          <w:sz w:val="32"/>
          <w:szCs w:val="32"/>
        </w:rPr>
        <w:t>我省重大科技创新工程、科技示范工程等科技计划中有融资需求的企业。该类项目的征集和确定履行省重大科技创新工程项目程序，执行《山东省重点研发计划（重大科技创新工程）项目管理办法》相关规定。</w:t>
      </w:r>
    </w:p>
    <w:p w14:paraId="17D9465E">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支持措施</w:t>
      </w:r>
    </w:p>
    <w:p w14:paraId="6DABAAA5">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第四条 支持方式。</w:t>
      </w:r>
      <w:r>
        <w:rPr>
          <w:rFonts w:ascii="Times New Roman" w:hAnsi="Times New Roman" w:eastAsia="仿宋_GB2312" w:cs="Times New Roman"/>
          <w:sz w:val="32"/>
          <w:szCs w:val="32"/>
        </w:rPr>
        <w:t>省科技厅作为拨款主体，投资管理机构作为投资主体，经共同研究确定后，与项目企业签订《项目合同书》和《股权投资协议》，明确项目任务、持股数量、股东权益及退出机制等关键条款。拨款资金用于项目支出，投资资金可用于项目相关的企业经营活动。</w:t>
      </w:r>
    </w:p>
    <w:p w14:paraId="00B21066">
      <w:pPr>
        <w:overflowPunct w:val="0"/>
        <w:autoSpaceDE/>
        <w:autoSpaceDN/>
        <w:spacing w:line="580" w:lineRule="exact"/>
        <w:ind w:firstLine="643" w:firstLineChars="200"/>
        <w:rPr>
          <w:rFonts w:ascii="Times New Roman" w:hAnsi="Times New Roman" w:eastAsia="仿宋_GB2312"/>
          <w:sz w:val="32"/>
          <w:szCs w:val="32"/>
          <w:highlight w:val="yellow"/>
        </w:rPr>
      </w:pPr>
      <w:r>
        <w:rPr>
          <w:rFonts w:ascii="Times New Roman" w:hAnsi="Times New Roman" w:eastAsia="仿宋_GB2312"/>
          <w:b/>
          <w:bCs/>
          <w:sz w:val="32"/>
          <w:szCs w:val="32"/>
        </w:rPr>
        <w:t>第五条 资金来源。</w:t>
      </w:r>
      <w:r>
        <w:rPr>
          <w:rFonts w:ascii="Times New Roman" w:hAnsi="Times New Roman" w:eastAsia="仿宋_GB2312"/>
          <w:sz w:val="32"/>
          <w:szCs w:val="32"/>
        </w:rPr>
        <w:t>“拨投结合”项目资金在省级科技创新发展资金预算中安排。省科技厅将“拨投结合”项目纳入省科技计划项目支持，</w:t>
      </w:r>
      <w:r>
        <w:rPr>
          <w:rFonts w:ascii="Times New Roman" w:hAnsi="Times New Roman" w:eastAsia="仿宋_GB2312"/>
          <w:kern w:val="0"/>
          <w:sz w:val="32"/>
          <w:szCs w:val="32"/>
        </w:rPr>
        <w:t>投资管理机构</w:t>
      </w:r>
      <w:r>
        <w:rPr>
          <w:rFonts w:ascii="Times New Roman" w:hAnsi="Times New Roman" w:eastAsia="仿宋_GB2312"/>
          <w:sz w:val="32"/>
          <w:szCs w:val="32"/>
        </w:rPr>
        <w:t>从年度科技领域财政股权投资资金中设立“拨投结合”投资额度。鼓励投资管理机构、金融及社会资本参与投资。</w:t>
      </w:r>
    </w:p>
    <w:p w14:paraId="649820A3">
      <w:pPr>
        <w:pStyle w:val="4"/>
        <w:overflowPunct w:val="0"/>
        <w:autoSpaceDE/>
        <w:autoSpaceDN/>
        <w:spacing w:after="0" w:line="580" w:lineRule="exact"/>
        <w:ind w:firstLine="643" w:firstLineChars="200"/>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第六条 支持标准。</w:t>
      </w:r>
      <w:r>
        <w:rPr>
          <w:rFonts w:ascii="Times New Roman" w:hAnsi="Times New Roman" w:eastAsia="仿宋_GB2312" w:cs="Times New Roman"/>
          <w:sz w:val="32"/>
          <w:szCs w:val="32"/>
        </w:rPr>
        <w:t>每个“拨投结合”项目支持强度原则上不低于同类科技计划直接补助的单个项目平均支持水平。财政股权资金投入原则上不低于省级财政补助资金。</w:t>
      </w:r>
    </w:p>
    <w:p w14:paraId="3B00BCC7">
      <w:pPr>
        <w:pStyle w:val="4"/>
        <w:overflowPunct w:val="0"/>
        <w:autoSpaceDE/>
        <w:autoSpaceDN/>
        <w:spacing w:after="0" w:line="580" w:lineRule="exact"/>
        <w:ind w:firstLine="643" w:firstLineChars="200"/>
        <w:rPr>
          <w:rFonts w:ascii="Times New Roman" w:hAnsi="Times New Roman" w:cs="Times New Roman"/>
          <w:b/>
          <w:bCs/>
          <w:sz w:val="20"/>
          <w:szCs w:val="22"/>
        </w:rPr>
      </w:pPr>
      <w:r>
        <w:rPr>
          <w:rFonts w:ascii="Times New Roman" w:hAnsi="Times New Roman" w:eastAsia="仿宋_GB2312" w:cs="Times New Roman"/>
          <w:b/>
          <w:bCs/>
          <w:sz w:val="32"/>
          <w:szCs w:val="32"/>
        </w:rPr>
        <w:t>第七条 参股比例。</w:t>
      </w:r>
      <w:r>
        <w:rPr>
          <w:rFonts w:ascii="Times New Roman" w:hAnsi="Times New Roman" w:eastAsia="仿宋_GB2312" w:cs="Times New Roman"/>
          <w:sz w:val="32"/>
          <w:szCs w:val="32"/>
        </w:rPr>
        <w:t>参股比例原则上不超过被投企业总股本25%，且不为第一大股东。参股期限原则上不超过5年，最长可延长至10年。</w:t>
      </w:r>
    </w:p>
    <w:p w14:paraId="07A2798A">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职责分工</w:t>
      </w:r>
    </w:p>
    <w:p w14:paraId="421B0813">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第八条 省财政厅职责。</w:t>
      </w:r>
      <w:r>
        <w:rPr>
          <w:rFonts w:ascii="Times New Roman" w:hAnsi="Times New Roman" w:eastAsia="仿宋_GB2312"/>
          <w:sz w:val="32"/>
          <w:szCs w:val="32"/>
        </w:rPr>
        <w:t>负责在省级科技创新发展资金年度预算规模内，协同配置“拨投结合”项目资金预算，经决策机构审定后，对投资管理机构实施注资；组织指导预算绩效管理工作。</w:t>
      </w:r>
    </w:p>
    <w:p w14:paraId="5CB0B897">
      <w:pPr>
        <w:overflowPunct w:val="0"/>
        <w:autoSpaceDE/>
        <w:autoSpaceDN/>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第九条 省科技厅职责。</w:t>
      </w:r>
      <w:r>
        <w:rPr>
          <w:rFonts w:ascii="Times New Roman" w:hAnsi="Times New Roman" w:eastAsia="仿宋_GB2312"/>
          <w:sz w:val="32"/>
          <w:szCs w:val="32"/>
        </w:rPr>
        <w:t>负责预算编制及执行和预算绩效管理，组织开展项目申报、审核、立项、签约等工作，做好“拨”的部分专项资金拨付工作；对项目实施情况进行监管，组织项目验收；参与对投资管理机构的考核评价；审批投资管理机构提出的转股建议、投后管理重大事项。</w:t>
      </w:r>
    </w:p>
    <w:p w14:paraId="39518884">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第十条 设区市科技局职责。</w:t>
      </w:r>
      <w:r>
        <w:rPr>
          <w:rFonts w:ascii="Times New Roman" w:hAnsi="Times New Roman" w:eastAsia="仿宋_GB2312"/>
          <w:sz w:val="32"/>
          <w:szCs w:val="32"/>
        </w:rPr>
        <w:t>负责本辖区“拨投结合”项目的征集、初审和推荐工作，负责审核申报材料的真实性、合规性；协调解决项目实施过程中出现的问题；协助省科技厅开展过程管理、绩效评价、监督检查和项目验收等工作；视项目进展和实际情况，适时提出项目调整建议；协助投资管理机构开展属地企业投后服务工作。</w:t>
      </w:r>
    </w:p>
    <w:p w14:paraId="101C0254">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第十一条 投资管理机构职责。</w:t>
      </w:r>
      <w:r>
        <w:rPr>
          <w:rFonts w:ascii="Times New Roman" w:hAnsi="Times New Roman" w:eastAsia="仿宋_GB2312"/>
          <w:sz w:val="32"/>
          <w:szCs w:val="32"/>
        </w:rPr>
        <w:t>负责项目尽调、价值评估、投资管理、风险防控、股权退出等工作，按照投资项目企业章程及股权投资协议约定实施股权管理，跟踪项目进展，参与被投资企业重大事项决策。按程序向省科技厅、省财政厅报送科技股权项目投资决策报告和科技股权项目管理报告。</w:t>
      </w:r>
    </w:p>
    <w:p w14:paraId="7CFC16F9">
      <w:pPr>
        <w:pStyle w:val="4"/>
        <w:numPr>
          <w:ilvl w:val="255"/>
          <w:numId w:val="0"/>
        </w:numPr>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第十二条 项目企业职责。</w:t>
      </w:r>
      <w:r>
        <w:rPr>
          <w:rFonts w:ascii="Times New Roman" w:hAnsi="Times New Roman" w:eastAsia="仿宋_GB2312" w:cs="Times New Roman"/>
          <w:sz w:val="32"/>
          <w:szCs w:val="32"/>
        </w:rPr>
        <w:t>按照项目合同书、投资协议等保障项目顺利实施，严格执行项目和经费管理规定，对项目目标任务完成、财政资金使用负直接责任；配合开展项目过程管理、绩效评价、监督等工作，及时报告重大成果或重大事项，按要求报送项目进展、资金使用等有关情况；履行科研诚信承诺制度，健全内部管理制度等。</w:t>
      </w:r>
    </w:p>
    <w:p w14:paraId="2D8BD08B">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工作程序</w:t>
      </w:r>
    </w:p>
    <w:p w14:paraId="3B6A73AD">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第十三条 协议约定。</w:t>
      </w:r>
      <w:r>
        <w:rPr>
          <w:rFonts w:ascii="Times New Roman" w:hAnsi="Times New Roman" w:eastAsia="仿宋_GB2312"/>
          <w:sz w:val="32"/>
          <w:szCs w:val="32"/>
        </w:rPr>
        <w:t>省财政厅、省科技厅与投资管理机构在《省级财政资金股权投资协议》中，明确各方权责、管理要求、考核机制等。</w:t>
      </w:r>
    </w:p>
    <w:p w14:paraId="0B5D9BB7">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第十四条 项目征集。</w:t>
      </w:r>
      <w:r>
        <w:rPr>
          <w:rFonts w:ascii="Times New Roman" w:hAnsi="Times New Roman" w:eastAsia="仿宋_GB2312" w:cs="Times New Roman"/>
          <w:sz w:val="32"/>
          <w:szCs w:val="32"/>
        </w:rPr>
        <w:t>省科技厅建立常态化项目征集和评审机制，定期发布“拨投结合”项目申报通知，明确申报条件，面向全省公开征集项目。</w:t>
      </w:r>
    </w:p>
    <w:p w14:paraId="6D61DE81">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第十五条 申报与推荐。</w:t>
      </w:r>
      <w:r>
        <w:rPr>
          <w:rFonts w:ascii="Times New Roman" w:hAnsi="Times New Roman" w:eastAsia="仿宋_GB2312" w:cs="Times New Roman"/>
          <w:sz w:val="32"/>
          <w:szCs w:val="32"/>
        </w:rPr>
        <w:t>申报单位按通知要求编制《山东省科技股权“拨投结合”项目申请书》及相关附件材料，申报材料提交至企业注册地县（区）科技局；县（区）科技局对申报材料进行初审，符合条件的推荐至设区市科技局；设区市科技局对推荐项目进行审核，汇总并行文推荐至省科技厅。省属投资机构、山东科技大市场可通过驻地设区市科技局推荐项目。原则上省级财政股权投资资金尚未退出的项目企业不得重复申报。</w:t>
      </w:r>
    </w:p>
    <w:p w14:paraId="726CDEAD">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第十六条 项目评审。</w:t>
      </w:r>
      <w:r>
        <w:rPr>
          <w:rFonts w:ascii="Times New Roman" w:hAnsi="Times New Roman" w:eastAsia="仿宋_GB2312" w:cs="Times New Roman"/>
          <w:sz w:val="32"/>
          <w:szCs w:val="32"/>
        </w:rPr>
        <w:t>省科技厅组织专家或委托专业机构，对通过形式审查的项目进行综合评审。评审重点涵盖但不限于项目技术先进性、创新性与成熟度；项目必要性、可行性及市场前景；企业研发能力、</w:t>
      </w:r>
      <w:r>
        <w:rPr>
          <w:rFonts w:ascii="Times New Roman" w:hAnsi="Times New Roman" w:eastAsia="仿宋_GB2312" w:cs="Times New Roman"/>
          <w:color w:val="000000" w:themeColor="text1"/>
          <w:sz w:val="32"/>
          <w:szCs w:val="32"/>
        </w:rPr>
        <w:t>管理及研发团队和财务状况</w:t>
      </w:r>
      <w:r>
        <w:rPr>
          <w:rFonts w:ascii="Times New Roman" w:hAnsi="Times New Roman" w:eastAsia="仿宋_GB2312" w:cs="Times New Roman"/>
          <w:sz w:val="32"/>
          <w:szCs w:val="32"/>
        </w:rPr>
        <w:t>；预期经济社会效益；参与和支撑全省产业创新发展能力水平。根据竞争择优原则，结合评审意见，形成初选项目名单推荐给投资管理机构进行尽职调查。</w:t>
      </w:r>
    </w:p>
    <w:p w14:paraId="4E38C7D3">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第十七条 尽职调查及投资谈判。</w:t>
      </w:r>
      <w:r>
        <w:rPr>
          <w:rFonts w:ascii="Times New Roman" w:hAnsi="Times New Roman" w:eastAsia="仿宋_GB2312"/>
          <w:sz w:val="32"/>
          <w:szCs w:val="32"/>
        </w:rPr>
        <w:t>投资管理机构在约定时间内，对推荐名单中的项目进行深入的尽职调查（包括法律、财务、业务、技术等方面）和投资价值评估，形成详细的尽职调查报告。</w:t>
      </w:r>
    </w:p>
    <w:p w14:paraId="53137750">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第十八条 确定投资计划。</w:t>
      </w:r>
      <w:r>
        <w:rPr>
          <w:rFonts w:ascii="Times New Roman" w:hAnsi="Times New Roman" w:eastAsia="仿宋_GB2312"/>
          <w:sz w:val="32"/>
          <w:szCs w:val="32"/>
        </w:rPr>
        <w:t>根据尽职调查报告和估值建议，投资管理机构确定拟投资项目清单、支持金额、持股比例、投资期限等关键条款，形成《投资建议书》。省科技厅对投资管理机构提交的《股权评估报告》和《投资建议书》进行审定，确定“拨投结合”项目名单及具体的投资计划方案。</w:t>
      </w:r>
    </w:p>
    <w:p w14:paraId="15741437">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第十九条 项目立项与资金下达。</w:t>
      </w:r>
      <w:r>
        <w:rPr>
          <w:rFonts w:ascii="Times New Roman" w:hAnsi="Times New Roman" w:eastAsia="仿宋_GB2312" w:cs="Times New Roman"/>
          <w:sz w:val="32"/>
          <w:szCs w:val="32"/>
        </w:rPr>
        <w:t>省科技厅根据审定的投资计划方案，组织开展拟立项项目公示，公示无异议后予以立项，向项目企业下达立项通知文件，并签订《项目合同书》。根据项目合同书约定，省科技厅将财政补助资金拨付至项目承担单位。</w:t>
      </w:r>
    </w:p>
    <w:p w14:paraId="6EB6620D">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第二十条 完成投资。</w:t>
      </w:r>
      <w:r>
        <w:rPr>
          <w:rFonts w:ascii="Times New Roman" w:hAnsi="Times New Roman" w:eastAsia="仿宋_GB2312"/>
          <w:sz w:val="32"/>
          <w:szCs w:val="32"/>
        </w:rPr>
        <w:t>投资管理机构依据资金分配文件、投资计划方案，与项目企业签订《股权投资协议》，将资金投资至项目企业。投资管理机构督促并协助项目企业在投资资金到位之日起30日内，完成公司章程修订、工商变更登记等法律手续。完成投资及法律手续后，投资管理机构向省科技厅、省财政厅书面报告投资完成情况及股权登记信息。</w:t>
      </w:r>
    </w:p>
    <w:p w14:paraId="4CEA44AF">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第二十一条 项目实施与过程管理。</w:t>
      </w:r>
      <w:r>
        <w:rPr>
          <w:rFonts w:ascii="Times New Roman" w:hAnsi="Times New Roman" w:eastAsia="仿宋_GB2312" w:cs="Times New Roman"/>
          <w:sz w:val="32"/>
          <w:szCs w:val="32"/>
        </w:rPr>
        <w:t>投资管理机构、设区市科技局根据工作职责对项目企业进行跟踪管理赋能。项目实施期满（或达到《项目合同书》约定目标的），由省科技厅组织或委托投资管理机构、第三方机构对项目目标完成情况、资金使用效益、科技成果产出、企业发展成效等进行验收。验收结果作为后续股权处置、绩效评价和容错免责的重要依据。未通过验收的项目取消后续支持，并按规定退回资金。</w:t>
      </w:r>
    </w:p>
    <w:p w14:paraId="3B82A2DB">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第二十二条 投后管理。</w:t>
      </w:r>
      <w:r>
        <w:rPr>
          <w:rFonts w:ascii="Times New Roman" w:hAnsi="Times New Roman" w:eastAsia="仿宋_GB2312"/>
          <w:sz w:val="32"/>
          <w:szCs w:val="32"/>
        </w:rPr>
        <w:t>完成投资后，由投资管理机构行使股东权利，依据《股权投资协议》和公司章程，参与被投资企业重大决策，提供赋能支持。建立健全投后管理体系，定期跟踪项目进展、企业经营和财务状况，进行风险评估。每年向省财政厅、省科技厅书面报告情况，重大事项及时报告；发现重大风险隐患时，及时预警并采取有效措施。</w:t>
      </w:r>
    </w:p>
    <w:p w14:paraId="4D4148AB">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第二十三条 股权退出。</w:t>
      </w:r>
      <w:r>
        <w:rPr>
          <w:rFonts w:ascii="Times New Roman" w:hAnsi="Times New Roman" w:eastAsia="仿宋_GB2312" w:cs="Times New Roman"/>
          <w:sz w:val="32"/>
          <w:szCs w:val="32"/>
        </w:rPr>
        <w:t>达到投资协议约定的投资年限、实现约定的技术突破、产业化成功、达到一定营收或利润指标、成功上市等投资目标，或触发协议约定的提前退出条款时，启动退出程序。由投资管理机构根据市场情况、企业状况和协议约定，制定具体退出方案，报省科技厅批准后实施。</w:t>
      </w:r>
    </w:p>
    <w:p w14:paraId="585DC021">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第二十四条 资本金使用。</w:t>
      </w:r>
      <w:r>
        <w:rPr>
          <w:rFonts w:ascii="Times New Roman" w:hAnsi="Times New Roman" w:eastAsia="仿宋_GB2312" w:cs="Times New Roman"/>
          <w:sz w:val="32"/>
          <w:szCs w:val="32"/>
        </w:rPr>
        <w:t>收回的投资本金，投资管理机构报省财政厅、省科技厅同意后，按照股权投资计划要求滚动使用；获得的投资收益（含年度分红、股息、股利等）按企业会计准则进行核算，并按照有关规定上缴国有资本收益。投资完成不满一年的，原则上不得提前退出。</w:t>
      </w:r>
    </w:p>
    <w:p w14:paraId="6EC76071">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监督管理与保障措施</w:t>
      </w:r>
    </w:p>
    <w:p w14:paraId="12C594C6">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第二十五条 监督管理。</w:t>
      </w:r>
      <w:r>
        <w:rPr>
          <w:rFonts w:ascii="Times New Roman" w:hAnsi="Times New Roman" w:eastAsia="仿宋_GB2312"/>
          <w:sz w:val="32"/>
          <w:szCs w:val="32"/>
        </w:rPr>
        <w:t>投资管理机构、项目企业应切实强化内部控制，优化完善风险防控机制，积极配合审计、财政、科技等部门的监督检查。对项目资金管理使用过程中存在违规、违纪、违法行为的，按照国家有关法律法规规定严肃处理。</w:t>
      </w:r>
    </w:p>
    <w:p w14:paraId="738D7D1A">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第二十六条 绩效评价与容错机制。</w:t>
      </w:r>
      <w:r>
        <w:rPr>
          <w:rFonts w:ascii="Times New Roman" w:hAnsi="Times New Roman" w:eastAsia="仿宋_GB2312" w:cs="Times New Roman"/>
          <w:sz w:val="32"/>
          <w:szCs w:val="32"/>
        </w:rPr>
        <w:t>省科技厅组织投资管理机构、项目企业进行绩效评价，省财政厅负责组织指导预算绩效管理工作。建立股权投资管理运作容错免责机制，对投资管理机构、项目企业已履行勤勉尽责义务、备案相关事项，但由于客观因素未达到预期目标或出现投资损失的，在绩效评价时予以剔除。</w:t>
      </w:r>
    </w:p>
    <w:p w14:paraId="1B0EE45B">
      <w:pPr>
        <w:pStyle w:val="4"/>
        <w:overflowPunct w:val="0"/>
        <w:autoSpaceDE/>
        <w:autoSpaceDN/>
        <w:spacing w:after="0"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第二十七条 项目撤销、变更、终止。</w:t>
      </w:r>
    </w:p>
    <w:p w14:paraId="76442088">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（一）若出现项目负责人变更或其他重大变化情况，项目企业应及时向设区市科技局提交书面申请，经省科技厅审核批准后，项目方可继续实施。</w:t>
      </w:r>
    </w:p>
    <w:p w14:paraId="2159D432">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（二）若出现以下情形导致项目无法完成，项目企业应主动向设区市科技局申请撤销项目，停止研发活动，进行损失核销，核销后结余资金按原渠道退回：</w:t>
      </w:r>
    </w:p>
    <w:p w14:paraId="4841FF94">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因不可抗力因素致使项目无法继续实施；</w:t>
      </w:r>
    </w:p>
    <w:p w14:paraId="670D97AE">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因项目研究开发的关键技术已被他人公开、市场发生重大变化等原因，致使项目研究开发工作失去意义；</w:t>
      </w:r>
    </w:p>
    <w:p w14:paraId="1FC1EEBE">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因项目负责人死亡、重大伤残、因公出国（境）、工作调动等原因，导致项目无法推进，且无合适的项目负责人可替代；</w:t>
      </w:r>
    </w:p>
    <w:p w14:paraId="41E7A5C3">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项目企业发生重大经营困难、兼并重组等变故，无法继续实施项目；</w:t>
      </w:r>
    </w:p>
    <w:p w14:paraId="4E2D8EC9">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其他导致项目无法正常实施的情形。</w:t>
      </w:r>
    </w:p>
    <w:p w14:paraId="4310D0A7">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（三）若出现以下情形之一，科技管理部门可强制终止项目，向项目企业发出项目终止书面通知，并依据科研诚信管理相关规定进行处置，项目企业应返还已拨付的全部财政性资金：</w:t>
      </w:r>
    </w:p>
    <w:p w14:paraId="596988C4">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财政性资金拨付6个月后，项目仍未实质性开展；</w:t>
      </w:r>
    </w:p>
    <w:p w14:paraId="4522DCED">
      <w:pPr>
        <w:overflowPunct w:val="0"/>
        <w:autoSpaceDE/>
        <w:autoSpaceDN/>
        <w:spacing w:line="580" w:lineRule="exact"/>
        <w:ind w:firstLine="640" w:firstLineChars="200"/>
        <w:rPr>
          <w:rFonts w:ascii="Times New Roman" w:hAnsi="Times New Roman" w:eastAsia="仿宋_GB2312"/>
          <w:spacing w:val="-2"/>
          <w:sz w:val="32"/>
          <w:szCs w:val="32"/>
        </w:rPr>
      </w:pPr>
      <w:r>
        <w:rPr>
          <w:rFonts w:ascii="Times New Roman" w:hAnsi="Times New Roman" w:eastAsia="仿宋_GB2312"/>
          <w:sz w:val="32"/>
          <w:szCs w:val="32"/>
        </w:rPr>
        <w:t xml:space="preserve">2. </w:t>
      </w:r>
      <w:r>
        <w:rPr>
          <w:rFonts w:ascii="Times New Roman" w:hAnsi="Times New Roman" w:eastAsia="仿宋_GB2312"/>
          <w:spacing w:val="-2"/>
          <w:sz w:val="32"/>
          <w:szCs w:val="32"/>
        </w:rPr>
        <w:t>经核实，项目企业或项目负责人发生重大变故但未及时上报，或因违法犯罪等原因导致项目无法继续实施；</w:t>
      </w:r>
    </w:p>
    <w:p w14:paraId="2648AF25">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发生知识产权纠纷或者侵权行为，经调解等方式仍无法解决，导致项目无法继续实施；</w:t>
      </w:r>
    </w:p>
    <w:p w14:paraId="5D0E8E9A">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经核实，在项目申报、项目实施过程中存在违纪违规和弄虚作假行为；</w:t>
      </w:r>
    </w:p>
    <w:p w14:paraId="443FB742">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 其他导致项目无法继续实施的情况。 </w:t>
      </w:r>
    </w:p>
    <w:p w14:paraId="7DA29790">
      <w:pPr>
        <w:pStyle w:val="4"/>
        <w:overflowPunct w:val="0"/>
        <w:autoSpaceDE/>
        <w:autoSpaceDN/>
        <w:spacing w:after="0"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第二十八条 保障支持措施。</w:t>
      </w:r>
    </w:p>
    <w:p w14:paraId="659BA918">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鼓励社会化资金参与。支持社会化机构参与项目筛选、实地考察、尽职调查、风险控制及投后管理。鼓励社会化资金出资参与“拨投结合”项目，对于社会化资金承诺出资且金额高于省级科技项目支持资金的项目，可优先予以立项。</w:t>
      </w:r>
    </w:p>
    <w:p w14:paraId="7718F189">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服务企业快速发展。完善科技金融服务体系，重点支持项目企业。投资管理机构应协助项目企业规范法人治理和内部管理、对接政府和相关行业协会政策及产业资源、丰富拓展融资渠道，并以优惠条件提供自身运营的各类专业服务（如空间、孵化、咨询等）。</w:t>
      </w:r>
    </w:p>
    <w:p w14:paraId="09B0A6F5">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（三）丰富股权退出渠道。充分利用区域性股权市场、产权交易市场等多层次资本市场功能，拓宽财政股权退出渠道。探索通过股权置换、资产证券化等方式，创新股权项目退出路径。</w:t>
      </w:r>
    </w:p>
    <w:p w14:paraId="48F12D07">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 附则</w:t>
      </w:r>
    </w:p>
    <w:p w14:paraId="31D887AB">
      <w:pPr>
        <w:pStyle w:val="4"/>
        <w:overflowPunct w:val="0"/>
        <w:autoSpaceDE/>
        <w:autoSpaceDN/>
        <w:spacing w:after="0" w:line="58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sz w:val="32"/>
          <w:szCs w:val="32"/>
        </w:rPr>
        <w:t>第二十九条</w:t>
      </w:r>
      <w:r>
        <w:rPr>
          <w:rFonts w:ascii="Times New Roman" w:hAnsi="Times New Roman" w:eastAsia="黑体" w:cs="Times New Roman"/>
          <w:bCs/>
          <w:sz w:val="32"/>
          <w:szCs w:val="32"/>
        </w:rPr>
        <w:t xml:space="preserve"> </w:t>
      </w:r>
      <w:r>
        <w:rPr>
          <w:rFonts w:ascii="Times New Roman" w:hAnsi="Times New Roman" w:eastAsia="仿宋_GB2312" w:cs="Times New Roman"/>
          <w:color w:val="000000" w:themeColor="text1"/>
          <w:sz w:val="32"/>
          <w:szCs w:val="32"/>
        </w:rPr>
        <w:t>本细则由省科技厅会同省财政厅负责解释。</w:t>
      </w:r>
    </w:p>
    <w:p w14:paraId="3637987D">
      <w:pPr>
        <w:pStyle w:val="4"/>
        <w:overflowPunct w:val="0"/>
        <w:autoSpaceDE/>
        <w:autoSpaceDN/>
        <w:spacing w:after="0" w:line="580" w:lineRule="exact"/>
        <w:ind w:firstLine="643" w:firstLineChars="200"/>
        <w:rPr>
          <w:rFonts w:ascii="Times New Roman" w:hAnsi="Times New Roman" w:eastAsia="黑体" w:cs="Times New Roman"/>
          <w:sz w:val="32"/>
          <w:szCs w:val="32"/>
        </w:rPr>
      </w:pPr>
      <w:r>
        <w:rPr>
          <w:rFonts w:ascii="Times New Roman" w:hAnsi="Times New Roman" w:eastAsia="仿宋_GB2312" w:cs="Times New Roman"/>
          <w:b/>
          <w:bCs/>
          <w:sz w:val="32"/>
          <w:szCs w:val="32"/>
        </w:rPr>
        <w:t>第三十条 施行日期与有效期。</w:t>
      </w:r>
      <w:r>
        <w:rPr>
          <w:rFonts w:ascii="Times New Roman" w:hAnsi="Times New Roman" w:eastAsia="仿宋_GB2312" w:cs="Times New Roman"/>
          <w:color w:val="000000" w:themeColor="text1"/>
          <w:sz w:val="32"/>
          <w:szCs w:val="32"/>
        </w:rPr>
        <w:t>本细则自发布之日起施行，有效期至2028年12月31日。可根据实施情况适时评估修订。</w:t>
      </w:r>
      <w:r>
        <w:rPr>
          <w:rFonts w:ascii="Times New Roman" w:hAnsi="Times New Roman" w:eastAsia="仿宋_GB2312" w:cs="Times New Roman"/>
          <w:sz w:val="32"/>
          <w:szCs w:val="32"/>
        </w:rPr>
        <w:t>原《山东省省级“拨投结合”科技项目管理实施细则》同时废止。</w:t>
      </w:r>
    </w:p>
    <w:p w14:paraId="29159AFF">
      <w:pPr>
        <w:overflowPunct w:val="0"/>
        <w:autoSpaceDE/>
        <w:autoSpaceDN/>
        <w:spacing w:line="580" w:lineRule="exact"/>
        <w:jc w:val="left"/>
        <w:rPr>
          <w:rFonts w:ascii="Times New Roman" w:hAnsi="Times New Roman" w:eastAsia="黑体"/>
          <w:sz w:val="28"/>
          <w:szCs w:val="28"/>
        </w:rPr>
      </w:pPr>
      <w:r>
        <w:rPr>
          <w:rFonts w:ascii="Times New Roman" w:hAnsi="Times New Roman"/>
          <w:sz w:val="32"/>
          <w:szCs w:val="32"/>
        </w:rPr>
        <w:br w:type="page"/>
      </w:r>
      <w:r>
        <w:rPr>
          <w:rFonts w:hint="eastAsia" w:ascii="Times New Roman" w:hAnsi="Times New Roman"/>
          <w:sz w:val="32"/>
          <w:szCs w:val="32"/>
          <w:lang w:val="en-US" w:eastAsia="zh-CN"/>
        </w:rPr>
        <w:t xml:space="preserve"> </w:t>
      </w:r>
    </w:p>
    <w:p w14:paraId="31D0FCBF">
      <w:pPr>
        <w:pStyle w:val="2"/>
        <w:keepNext w:val="0"/>
        <w:keepLines w:val="0"/>
        <w:overflowPunct w:val="0"/>
        <w:autoSpaceDE/>
        <w:autoSpaceDN/>
        <w:spacing w:before="0" w:after="0" w:line="580" w:lineRule="exact"/>
        <w:rPr>
          <w:rFonts w:ascii="Times New Roman" w:hAnsi="Times New Roman" w:cs="Times New Roman"/>
          <w:sz w:val="44"/>
          <w:szCs w:val="44"/>
        </w:rPr>
      </w:pPr>
      <w:r>
        <w:rPr>
          <w:rFonts w:ascii="Times New Roman" w:hAnsi="Times New Roman" w:cs="Times New Roman"/>
          <w:sz w:val="44"/>
          <w:szCs w:val="44"/>
        </w:rPr>
        <w:t>山东省省级“股权直投”科技项目</w:t>
      </w:r>
    </w:p>
    <w:p w14:paraId="7909F3C0">
      <w:pPr>
        <w:pStyle w:val="2"/>
        <w:keepNext w:val="0"/>
        <w:keepLines w:val="0"/>
        <w:overflowPunct w:val="0"/>
        <w:autoSpaceDE/>
        <w:autoSpaceDN/>
        <w:spacing w:before="0" w:after="0" w:line="580" w:lineRule="exact"/>
        <w:rPr>
          <w:rFonts w:ascii="Times New Roman" w:hAnsi="Times New Roman" w:cs="Times New Roman"/>
          <w:sz w:val="44"/>
          <w:szCs w:val="44"/>
        </w:rPr>
      </w:pPr>
      <w:r>
        <w:rPr>
          <w:rFonts w:ascii="Times New Roman" w:hAnsi="Times New Roman" w:cs="Times New Roman"/>
          <w:sz w:val="44"/>
          <w:szCs w:val="44"/>
        </w:rPr>
        <w:t>管理实施细则</w:t>
      </w:r>
    </w:p>
    <w:p w14:paraId="7561F60F">
      <w:pPr>
        <w:overflowPunct w:val="0"/>
        <w:autoSpaceDE/>
        <w:autoSpaceDN/>
        <w:spacing w:line="580" w:lineRule="exact"/>
        <w:jc w:val="center"/>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lang w:val="en-US" w:eastAsia="zh-CN"/>
        </w:rPr>
        <w:t>征求意见</w:t>
      </w:r>
      <w:r>
        <w:rPr>
          <w:rFonts w:ascii="Times New Roman" w:hAnsi="Times New Roman" w:eastAsia="楷体_GB2312"/>
          <w:sz w:val="32"/>
          <w:szCs w:val="32"/>
        </w:rPr>
        <w:t>稿）</w:t>
      </w:r>
    </w:p>
    <w:p w14:paraId="0811B767">
      <w:pPr>
        <w:pStyle w:val="4"/>
        <w:overflowPunct w:val="0"/>
        <w:autoSpaceDE/>
        <w:autoSpaceDN/>
        <w:spacing w:after="0" w:line="580" w:lineRule="exact"/>
        <w:jc w:val="center"/>
        <w:rPr>
          <w:rFonts w:ascii="Times New Roman" w:hAnsi="Times New Roman" w:eastAsia="黑体" w:cs="Times New Roman"/>
          <w:color w:val="000000" w:themeColor="text1"/>
          <w:sz w:val="32"/>
          <w:szCs w:val="32"/>
        </w:rPr>
      </w:pPr>
    </w:p>
    <w:p w14:paraId="1407074B">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14:paraId="357DFC0B">
      <w:pPr>
        <w:overflowPunct w:val="0"/>
        <w:autoSpaceDE/>
        <w:autoSpaceDN/>
        <w:spacing w:line="580" w:lineRule="exact"/>
        <w:ind w:firstLine="643" w:firstLineChars="200"/>
        <w:rPr>
          <w:rFonts w:ascii="Times New Roman" w:hAnsi="Times New Roman" w:eastAsia="黑体"/>
          <w:sz w:val="32"/>
          <w:szCs w:val="32"/>
        </w:rPr>
      </w:pPr>
      <w:r>
        <w:rPr>
          <w:rFonts w:ascii="Times New Roman" w:hAnsi="Times New Roman" w:eastAsia="仿宋_GB2312"/>
          <w:b/>
          <w:bCs/>
          <w:sz w:val="32"/>
          <w:szCs w:val="32"/>
        </w:rPr>
        <w:t>第一条 目标定位。</w:t>
      </w:r>
      <w:r>
        <w:rPr>
          <w:rFonts w:ascii="Times New Roman" w:hAnsi="Times New Roman" w:eastAsia="仿宋_GB2312"/>
          <w:color w:val="000000" w:themeColor="text1"/>
          <w:sz w:val="32"/>
          <w:szCs w:val="32"/>
        </w:rPr>
        <w:t>为深化科技体制改革，切实发挥科技资金引导作用，推动科技资金股权改革向纵深推进，解决科技型企业融资需求，撬动社会资本向科技成果转化、科技型企业培育聚集，推动科技、金融、产业深度融合，加速培育新质生产力，高质量推进全省科技创新工作，制定本细则。</w:t>
      </w:r>
    </w:p>
    <w:p w14:paraId="2B59E8DC">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第二条 概念释义。</w:t>
      </w:r>
      <w:r>
        <w:rPr>
          <w:rFonts w:ascii="Times New Roman" w:hAnsi="Times New Roman" w:eastAsia="仿宋_GB2312"/>
          <w:sz w:val="32"/>
          <w:szCs w:val="32"/>
        </w:rPr>
        <w:t>“股权直投”是指山东省省级科技创新发展资金，通过确定的财政</w:t>
      </w:r>
      <w:r>
        <w:rPr>
          <w:rFonts w:ascii="Times New Roman" w:hAnsi="Times New Roman" w:eastAsia="仿宋_GB2312"/>
          <w:color w:val="000000"/>
          <w:kern w:val="0"/>
          <w:sz w:val="32"/>
          <w:szCs w:val="32"/>
        </w:rPr>
        <w:t>科技股权投资管理机构（以下简称投资管理机构）</w:t>
      </w:r>
      <w:r>
        <w:rPr>
          <w:rFonts w:ascii="Times New Roman" w:hAnsi="Times New Roman" w:eastAsia="仿宋_GB2312"/>
          <w:sz w:val="32"/>
          <w:szCs w:val="32"/>
        </w:rPr>
        <w:t>，以市场化方式直接投资入股山东省内科技型企业，形成国有股权，并依据投资协议约定参与企业经营决策、获取收益、承担风险，最终实现股权退出的财政资金支持方式。其核心是发挥财政资金引导作用，通过股权投资支持企业科技创新和成果转化。</w:t>
      </w:r>
    </w:p>
    <w:p w14:paraId="5846AD89">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第三条 支持对象。</w:t>
      </w:r>
      <w:r>
        <w:rPr>
          <w:rFonts w:ascii="Times New Roman" w:hAnsi="Times New Roman" w:eastAsia="仿宋_GB2312"/>
          <w:sz w:val="32"/>
          <w:szCs w:val="32"/>
        </w:rPr>
        <w:t>在山东省内注册经营,具有独立法人资格,依法在山东省内纳税；高新技术企业或当年度通过评价的国家科技型中小企业库入库企业；“创新积分制”或“科融信增信评价”通过的企业；具备显著科创属性、已在区域性股权交易市场挂牌或境内外证券交易所上市的企业。</w:t>
      </w:r>
    </w:p>
    <w:p w14:paraId="42142417">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第四条 直通车项目。</w:t>
      </w:r>
      <w:r>
        <w:rPr>
          <w:rFonts w:ascii="Times New Roman" w:hAnsi="Times New Roman" w:eastAsia="仿宋_GB2312"/>
          <w:sz w:val="32"/>
          <w:szCs w:val="32"/>
        </w:rPr>
        <w:t>中国创新创业大赛、颠覆性大赛国赛获奖项目和“创业齐鲁</w:t>
      </w:r>
      <w:r>
        <w:rPr>
          <w:rFonts w:ascii="Times New Roman" w:hAnsi="Times New Roman" w:eastAsia="仿宋_GB2312"/>
          <w:b/>
          <w:sz w:val="32"/>
          <w:szCs w:val="32"/>
        </w:rPr>
        <w:t>·</w:t>
      </w:r>
      <w:r>
        <w:rPr>
          <w:rFonts w:ascii="Times New Roman" w:hAnsi="Times New Roman" w:eastAsia="仿宋_GB2312"/>
          <w:sz w:val="32"/>
          <w:szCs w:val="32"/>
        </w:rPr>
        <w:t>共赢未来”高层次人才创业大赛获奖项目在通过形式审查后，可优先推荐至投资管理机构进行尽职调查或市场化评估。</w:t>
      </w:r>
    </w:p>
    <w:p w14:paraId="286970BF">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支持措施</w:t>
      </w:r>
    </w:p>
    <w:p w14:paraId="24AE0F4B">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第五条 支持方式。</w:t>
      </w:r>
      <w:r>
        <w:rPr>
          <w:rFonts w:ascii="Times New Roman" w:hAnsi="Times New Roman" w:eastAsia="仿宋_GB2312"/>
          <w:sz w:val="32"/>
          <w:szCs w:val="32"/>
        </w:rPr>
        <w:t>省级科技创新发展资金通过</w:t>
      </w:r>
      <w:r>
        <w:rPr>
          <w:rFonts w:ascii="Times New Roman" w:hAnsi="Times New Roman" w:eastAsia="仿宋_GB2312"/>
          <w:kern w:val="0"/>
          <w:sz w:val="32"/>
          <w:szCs w:val="32"/>
        </w:rPr>
        <w:t>向投资管理机构注资</w:t>
      </w:r>
      <w:r>
        <w:rPr>
          <w:rFonts w:ascii="Times New Roman" w:hAnsi="Times New Roman" w:eastAsia="仿宋_GB2312"/>
          <w:sz w:val="32"/>
          <w:szCs w:val="32"/>
        </w:rPr>
        <w:t>，</w:t>
      </w:r>
      <w:r>
        <w:rPr>
          <w:rFonts w:ascii="Times New Roman" w:hAnsi="Times New Roman" w:eastAsia="仿宋_GB2312"/>
          <w:kern w:val="0"/>
          <w:sz w:val="32"/>
          <w:szCs w:val="32"/>
        </w:rPr>
        <w:t>投资管理机构</w:t>
      </w:r>
      <w:r>
        <w:rPr>
          <w:rFonts w:ascii="Times New Roman" w:hAnsi="Times New Roman" w:eastAsia="仿宋_GB2312"/>
          <w:sz w:val="32"/>
          <w:szCs w:val="32"/>
        </w:rPr>
        <w:t>直接对被投资企业进行现金出资，获得相应股权。</w:t>
      </w:r>
    </w:p>
    <w:p w14:paraId="5F41CDCB">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第六条 资金来源。</w:t>
      </w:r>
      <w:r>
        <w:rPr>
          <w:rFonts w:ascii="Times New Roman" w:hAnsi="Times New Roman" w:eastAsia="仿宋_GB2312"/>
          <w:sz w:val="32"/>
          <w:szCs w:val="32"/>
        </w:rPr>
        <w:t>在省级科技创新发展资金中安排专门额度用于“股权直投”。省科技厅将“股权直投”项目纳入省科技计划项目支持，鼓励投资管理机构、金融及社会资本参与投资。</w:t>
      </w:r>
    </w:p>
    <w:p w14:paraId="62F33134">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第七条 支持标准。</w:t>
      </w:r>
      <w:r>
        <w:rPr>
          <w:rFonts w:ascii="Times New Roman" w:hAnsi="Times New Roman" w:eastAsia="仿宋_GB2312" w:cs="Times New Roman"/>
          <w:sz w:val="32"/>
          <w:szCs w:val="32"/>
        </w:rPr>
        <w:t>单个项目的支持额度根据企业的实际需求、资产规模、项目价值、专家评审意见及投资管理机构的尽职调查结果综合确定。</w:t>
      </w:r>
    </w:p>
    <w:p w14:paraId="4A6412CA">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第八条 参股比例。</w:t>
      </w:r>
      <w:r>
        <w:rPr>
          <w:rFonts w:ascii="Times New Roman" w:hAnsi="Times New Roman" w:eastAsia="仿宋_GB2312" w:cs="Times New Roman"/>
          <w:sz w:val="32"/>
          <w:szCs w:val="32"/>
        </w:rPr>
        <w:t>财政资金出资额占被投资企业总股本的比例，原则上不超过25%，且不作为被投资企业的第一大股东。参股期限原则上不超过5年，最长可延长至10年。</w:t>
      </w:r>
    </w:p>
    <w:p w14:paraId="04150E65">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职责分工</w:t>
      </w:r>
    </w:p>
    <w:p w14:paraId="61B6B9B0">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第九条 省财政厅职责。</w:t>
      </w:r>
      <w:r>
        <w:rPr>
          <w:rFonts w:ascii="Times New Roman" w:hAnsi="Times New Roman" w:eastAsia="仿宋_GB2312"/>
          <w:sz w:val="32"/>
          <w:szCs w:val="32"/>
        </w:rPr>
        <w:t>负责省级科技创新发展资金的预算管理和总体安排；根据省委科技委批复的预算，向投资管理机构下达股权投资资金分配文件；对财政股权资金的运作、收益、退出等进行监督；组织预算管理绩效评价和容错机制认定相关工作。</w:t>
      </w:r>
    </w:p>
    <w:p w14:paraId="3AF5A9F0">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第十条 省科技厅职责。</w:t>
      </w:r>
      <w:r>
        <w:rPr>
          <w:rFonts w:ascii="Times New Roman" w:hAnsi="Times New Roman" w:eastAsia="仿宋_GB2312"/>
          <w:sz w:val="32"/>
          <w:szCs w:val="32"/>
        </w:rPr>
        <w:t>负责预算编制及执行和预算绩效管理，组织开展项目申报、审核、立项、签约等工作；对项目实施情况进行监管；参与对投资管理机构的考核评价；审批投资管理机构提出的入股建议、投后管理重大事项。</w:t>
      </w:r>
    </w:p>
    <w:p w14:paraId="5FE214E6">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第十一条 设区市科技局职责。</w:t>
      </w:r>
      <w:r>
        <w:rPr>
          <w:rFonts w:ascii="Times New Roman" w:hAnsi="Times New Roman" w:eastAsia="仿宋_GB2312"/>
          <w:sz w:val="32"/>
          <w:szCs w:val="32"/>
        </w:rPr>
        <w:t>设区市科技局负责本辖区内“股权直投”项目的征集、初审和推荐工作，负责审核申报材料的真实性、合规性；协调解决项目实施过程中出现的问题；协助省科技厅开展过程管理、绩效评价、监督检查和项目验收等工作；视项目进展和实际情况，适时提出项目调整建议。</w:t>
      </w:r>
    </w:p>
    <w:p w14:paraId="66C1EBBC">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第十二条 投资管理机构职责。</w:t>
      </w:r>
      <w:r>
        <w:rPr>
          <w:rFonts w:ascii="Times New Roman" w:hAnsi="Times New Roman" w:eastAsia="仿宋_GB2312"/>
          <w:sz w:val="32"/>
          <w:szCs w:val="32"/>
        </w:rPr>
        <w:t>负责项目尽调、价值评估、投资管理、风险防控、股权退出等工作，按照投资项目企业章程及股权投资协议约定实施股权管理，跟踪项目进展，参与被投资企业重大事项决策。按程序向省科技厅、省财政厅报送科技股权项目投资决策报告和科技股权项目管理报告。</w:t>
      </w:r>
    </w:p>
    <w:p w14:paraId="20DE9FBD">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第十三条 项目企业职责。</w:t>
      </w:r>
      <w:r>
        <w:rPr>
          <w:rFonts w:ascii="Times New Roman" w:hAnsi="Times New Roman" w:eastAsia="仿宋_GB2312"/>
          <w:sz w:val="32"/>
          <w:szCs w:val="32"/>
        </w:rPr>
        <w:t>按照项目合同书、投资协议等保障项目顺利实施，严格执行项目和经费管理规定，对项目目标任务完成、财政资金使用负直接责任；配合开展项目过程管理、绩效评价、监督等工作，及时报告重大成果或重大事项，按要求报送项目进展、资金使用等有关情况；履行科研诚信承诺制度，健全内部管理制度等。</w:t>
      </w:r>
    </w:p>
    <w:p w14:paraId="5526EBEE">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工作程序</w:t>
      </w:r>
    </w:p>
    <w:p w14:paraId="06DD646D">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第十四条 协议约定。</w:t>
      </w:r>
      <w:r>
        <w:rPr>
          <w:rFonts w:ascii="Times New Roman" w:hAnsi="Times New Roman" w:eastAsia="仿宋_GB2312"/>
          <w:sz w:val="32"/>
          <w:szCs w:val="32"/>
        </w:rPr>
        <w:t>省财政厅、省科技厅与投资管理机构在《省级财政资金股权投资协议》中，明确各方权责、管理要求、考核机制等。</w:t>
      </w:r>
    </w:p>
    <w:p w14:paraId="362ACED0">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第十五条 项目征集。</w:t>
      </w:r>
      <w:r>
        <w:rPr>
          <w:rFonts w:ascii="Times New Roman" w:hAnsi="Times New Roman" w:eastAsia="仿宋_GB2312"/>
          <w:sz w:val="32"/>
          <w:szCs w:val="32"/>
        </w:rPr>
        <w:t>省科技厅建立常态化项目征集和评审机制，定期发布“股权直投”项目申报通知，明确申报条件，面向全省公开征集项目。</w:t>
      </w:r>
    </w:p>
    <w:p w14:paraId="005E327E">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第十六条 申报与推荐。</w:t>
      </w:r>
      <w:r>
        <w:rPr>
          <w:rFonts w:ascii="Times New Roman" w:hAnsi="Times New Roman" w:eastAsia="仿宋_GB2312"/>
          <w:sz w:val="32"/>
          <w:szCs w:val="32"/>
        </w:rPr>
        <w:t>申报单位按通知要求编制《山东省科技股权投资项目申请书》及相关附件材料，申报材料提交至企业注册地县（区）科技局；县（区）科技局对申报材料进行初审，符合条件的推荐至设区市科技局；设区市科技局对推荐项目进行审核，汇总并行文推荐至省科技厅。省属投资机构、山东科技大市场可通过驻地设区市科技局推荐项目。省级财政股权投资资金尚未退出的项目企业不得重复申报。</w:t>
      </w:r>
    </w:p>
    <w:p w14:paraId="05889474">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第十七条 项目评审。</w:t>
      </w:r>
      <w:r>
        <w:rPr>
          <w:rFonts w:ascii="Times New Roman" w:hAnsi="Times New Roman" w:eastAsia="仿宋_GB2312"/>
          <w:sz w:val="32"/>
          <w:szCs w:val="32"/>
        </w:rPr>
        <w:t>省科技厅对推荐项目进行形式审查，组织专家或委托专业机构，对通过形式审查的项目进行综合评审。评审重点包括：项目技术先进性、创新性与成熟度；项目必要性、可行性及市场前景；企业研发能力、管理团队及财务状况；预期经济社会效益；支撑省级战略的能力。根据竞争择优原则，结合评审意见，形成“股权直投”初选项目名单，纳入省级科技“股权直投”项目库管理，项目库实行动态滚动管理，入库项目有效期一般为3年。</w:t>
      </w:r>
    </w:p>
    <w:p w14:paraId="50D72E2A">
      <w:pPr>
        <w:overflowPunct w:val="0"/>
        <w:autoSpaceDE/>
        <w:autoSpaceDN/>
        <w:spacing w:line="580" w:lineRule="exact"/>
        <w:ind w:firstLine="643" w:firstLineChars="200"/>
        <w:rPr>
          <w:rFonts w:ascii="Times New Roman" w:hAnsi="Times New Roman" w:eastAsia="仿宋_GB2312"/>
          <w:color w:val="000000" w:themeColor="text1"/>
          <w:sz w:val="32"/>
          <w:szCs w:val="32"/>
        </w:rPr>
      </w:pPr>
      <w:r>
        <w:rPr>
          <w:rFonts w:ascii="Times New Roman" w:hAnsi="Times New Roman" w:eastAsia="仿宋_GB2312"/>
          <w:b/>
          <w:bCs/>
          <w:sz w:val="32"/>
          <w:szCs w:val="32"/>
        </w:rPr>
        <w:t>第十八条 项目推荐。</w:t>
      </w:r>
      <w:r>
        <w:rPr>
          <w:rFonts w:ascii="Times New Roman" w:hAnsi="Times New Roman" w:eastAsia="仿宋_GB2312"/>
          <w:color w:val="000000" w:themeColor="text1"/>
          <w:sz w:val="32"/>
          <w:szCs w:val="32"/>
        </w:rPr>
        <w:t>省科技厅将公示无异议的“股权直投”初选项目名单，推荐给投资管理机构。</w:t>
      </w:r>
    </w:p>
    <w:p w14:paraId="1F6A66AC">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第十九条 尽职调查与投资谈判。</w:t>
      </w:r>
      <w:r>
        <w:rPr>
          <w:rFonts w:ascii="Times New Roman" w:hAnsi="Times New Roman" w:eastAsia="仿宋_GB2312"/>
          <w:sz w:val="32"/>
          <w:szCs w:val="32"/>
        </w:rPr>
        <w:t>投资管理机构在约定时间内，对推荐名单中的项目进行深入的尽职调查和投资价值评估。在尽职调查基础上，投资管理机构与被投资企业就投资条款进行市场化谈判。根据尽调和谈判结果，形成《股权评估报告》和《投资建议书》，提交省科技厅和省财政厅。</w:t>
      </w:r>
    </w:p>
    <w:p w14:paraId="197713F6">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第二十条 确定投资计划。</w:t>
      </w:r>
      <w:r>
        <w:rPr>
          <w:rFonts w:ascii="Times New Roman" w:hAnsi="Times New Roman" w:eastAsia="仿宋_GB2312"/>
          <w:sz w:val="32"/>
          <w:szCs w:val="32"/>
        </w:rPr>
        <w:t>省科技厅会同省财政厅对投资管理机构提交的《股权评估报告》和《投资建议书》进行审定，按程序确定“股权直投”项目名单及具体的投资计划方案。</w:t>
      </w:r>
    </w:p>
    <w:p w14:paraId="4A35B77E">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第二十一条 项目立项。</w:t>
      </w:r>
      <w:r>
        <w:rPr>
          <w:rFonts w:ascii="Times New Roman" w:hAnsi="Times New Roman" w:eastAsia="仿宋_GB2312"/>
          <w:sz w:val="32"/>
          <w:szCs w:val="32"/>
        </w:rPr>
        <w:t>省科技厅根据审定的投资计划方案，向项目实施单位下达股权投资资金分配文件，签订《项目合同书》；投资管理机构依据资金分配文件、投资计划方案及与被投资企业达成的协议，与被投资企业正式签订《股权投资协议》。</w:t>
      </w:r>
    </w:p>
    <w:p w14:paraId="57E97BE7">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第二十二条 完成投资。</w:t>
      </w:r>
      <w:r>
        <w:rPr>
          <w:rFonts w:ascii="Times New Roman" w:hAnsi="Times New Roman" w:eastAsia="仿宋_GB2312"/>
          <w:sz w:val="32"/>
          <w:szCs w:val="32"/>
        </w:rPr>
        <w:t>投资管理机构按照《股权投资协议》约定，将股权投资资金划入被投资企业指定的银行账户。投资管理机构督促并协助被投资企业在投资资金到位之日起30日内，完成公司章程修订、工商变更登记（股东、注册资本等）等法律手续。完成投资及法律手续后，投资管理机构向省科技厅、省财政厅书面报告投资完成情况及股权登记信息。</w:t>
      </w:r>
    </w:p>
    <w:p w14:paraId="7B0D2AEE">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第二十三条 投后管理。</w:t>
      </w:r>
      <w:r>
        <w:rPr>
          <w:rFonts w:ascii="Times New Roman" w:hAnsi="Times New Roman" w:eastAsia="仿宋_GB2312"/>
          <w:sz w:val="32"/>
          <w:szCs w:val="32"/>
        </w:rPr>
        <w:t>完成投资后，由投资管理机构行使股东权利，依据《股权投资协议》和公司章程，参与被投资企业重大决策，提供赋能支持。建立健全投后管理体系，定期跟踪项目进展、企业经营和财务状况，进行风险评估。每年向省财政厅、省科技厅书面报告情况，重大事项及时报告；发现重大风险隐患时，及时预警并采取有效措施。</w:t>
      </w:r>
    </w:p>
    <w:p w14:paraId="23F6DD91">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第二十四条 项目验收。</w:t>
      </w:r>
      <w:r>
        <w:rPr>
          <w:rFonts w:ascii="Times New Roman" w:hAnsi="Times New Roman" w:eastAsia="仿宋_GB2312"/>
          <w:sz w:val="32"/>
          <w:szCs w:val="32"/>
        </w:rPr>
        <w:t>项目实施期满（或达到协议约定的阶段性目标），由投资管理机构对项目目标完成情况、资金使用效益、科技成果产出、企业发展成效等进行验收。验收结果作为后续股权处置、绩效评价和容错免责的重要依据。</w:t>
      </w:r>
    </w:p>
    <w:p w14:paraId="34C73A4E">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第二十五条 股权退出。</w:t>
      </w:r>
      <w:r>
        <w:rPr>
          <w:rFonts w:ascii="Times New Roman" w:hAnsi="Times New Roman" w:eastAsia="仿宋_GB2312"/>
          <w:sz w:val="32"/>
          <w:szCs w:val="32"/>
        </w:rPr>
        <w:t>达到投资协议约定的投资年限、实现约定的技术突破、产业化成功、达到一定营收/利润指标、成功上市等投资目标，或触发协议约定的提前退出条款时，启动退出程序。由投资管理机构根据市场情况、企业状况和协议约定，制定具体退出方案，报省财政厅、省科技厅批准后实施。收回的投资本金，投资管理机构报省财政厅、省科技厅同意后，按照股权投资计划要求滚动使用；获得的投资收益（含年度分红、股息、股利等）按企业会计准则进行核算，并按照有关规定上缴国有资本收益。投资完成不满一年的，原则上不得提前退出。</w:t>
      </w:r>
    </w:p>
    <w:p w14:paraId="18F7E8F7">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风险管理与保障措施</w:t>
      </w:r>
    </w:p>
    <w:p w14:paraId="31D5875D">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第二十六条 监督管理。</w:t>
      </w:r>
      <w:r>
        <w:rPr>
          <w:rFonts w:ascii="Times New Roman" w:hAnsi="Times New Roman" w:eastAsia="仿宋_GB2312"/>
          <w:sz w:val="32"/>
          <w:szCs w:val="32"/>
        </w:rPr>
        <w:t>投资管理机构、项目企业应切实强化内部控制，优化完善风险防控机制，积极配合审计、财政、科技等部门的监督检查。对项目资金管理使用过程中存在违规、违纪、违法行为的，按照国家有关法律法规规定严肃处理。</w:t>
      </w:r>
    </w:p>
    <w:p w14:paraId="011C46E0">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第二十七条 绩效评价与容错机制。</w:t>
      </w:r>
      <w:r>
        <w:rPr>
          <w:rFonts w:ascii="Times New Roman" w:hAnsi="Times New Roman" w:eastAsia="仿宋_GB2312" w:cs="Times New Roman"/>
          <w:sz w:val="32"/>
          <w:szCs w:val="32"/>
        </w:rPr>
        <w:t>省科技厅组织对投资管理机构、项目企业进行绩效评价，省财政厅负责组织指导预算绩效管理工作。建立股权投资管理运作容错免责机制，对投资管理机构、项目企业已履行勤勉尽责义务、备案相关事项，但由于客观因素未达到预期目标或出现投资损失的，在绩效评价时予以剔除。</w:t>
      </w:r>
    </w:p>
    <w:p w14:paraId="5FC59DC2">
      <w:pPr>
        <w:pStyle w:val="4"/>
        <w:overflowPunct w:val="0"/>
        <w:autoSpaceDE/>
        <w:autoSpaceDN/>
        <w:spacing w:after="0"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第二十八条 项目撤销、变更、终止。</w:t>
      </w:r>
    </w:p>
    <w:p w14:paraId="2559C05D">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（一）若出现项目负责人变更或其他重大变化情况，项目企业应及时向设区市科技局提交书面申请，经省科技厅审核批准后，项目方可继续实施。</w:t>
      </w:r>
    </w:p>
    <w:p w14:paraId="6D125464">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（二）若出现以下情形导致项目无法完成，项目企业应主动向设区市科技局申请撤销项目，停止研发活动，进行损失核销，核销后结余资金按原渠道退回：</w:t>
      </w:r>
    </w:p>
    <w:p w14:paraId="3AA158A3">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因不可抗力因素致使项目无法继续实施；</w:t>
      </w:r>
    </w:p>
    <w:p w14:paraId="13E4574D">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因项目研究开发的关键技术已被他人公开、市场发生重大变化等原因，致使项目研究开发工作失去意义；</w:t>
      </w:r>
    </w:p>
    <w:p w14:paraId="52F6C27D">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因项目负责人死亡、重大伤残、因公出国（境）、工作调动等原因，导致项目无法推进，且无合适的项目负责人可替代；</w:t>
      </w:r>
    </w:p>
    <w:p w14:paraId="41636CA7">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项目企业发生重大经营困难、兼并重组等变故，无法继续实施项目；</w:t>
      </w:r>
    </w:p>
    <w:p w14:paraId="1488BC0F">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其他导致项目无法正常实施的情形。</w:t>
      </w:r>
    </w:p>
    <w:p w14:paraId="511A30CC">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（三）若出现以下情形之一，科技管理部门可强制终止项目，向项目企业发出项目终止书面通知，并依据科研诚信管理相关规定进行处置，项目企业应返还已拨付的全部财政性资金：</w:t>
      </w:r>
    </w:p>
    <w:p w14:paraId="398C11C7">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财政性资金拨付6个月后，项目仍未实质性开展；</w:t>
      </w:r>
    </w:p>
    <w:p w14:paraId="57274C82">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经核实，项目企业或项目负责人发生重大变故但未及时上报，或因违法犯罪等原因导致项目无法继续实施；</w:t>
      </w:r>
    </w:p>
    <w:p w14:paraId="73EB87B7">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发生知识产权纠纷或者侵权行为，经调解等方式仍无法解决，导致项目无法继续实施；</w:t>
      </w:r>
    </w:p>
    <w:p w14:paraId="5DF7285E">
      <w:pPr>
        <w:overflowPunct w:val="0"/>
        <w:autoSpaceDE/>
        <w:autoSpaceDN/>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经核实，在项目申报、项目实施过程中存在违纪违规和弄虚作假行为；</w:t>
      </w:r>
    </w:p>
    <w:p w14:paraId="15A0EF6F">
      <w:pPr>
        <w:overflowPunct w:val="0"/>
        <w:autoSpaceDE/>
        <w:autoSpaceDN/>
        <w:spacing w:line="58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 xml:space="preserve">5. 其他导致项目无法继续实施的情况。 </w:t>
      </w:r>
    </w:p>
    <w:p w14:paraId="10338FB2">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第二十九条 延长投资期限。</w:t>
      </w:r>
      <w:r>
        <w:rPr>
          <w:rFonts w:ascii="Times New Roman" w:hAnsi="Times New Roman" w:eastAsia="仿宋_GB2312" w:cs="Times New Roman"/>
          <w:sz w:val="32"/>
          <w:szCs w:val="32"/>
        </w:rPr>
        <w:t>项目投资期满，企业提出延期申请的，投资管理机构和企业协商确定延期方案，并报省财政厅、省科技厅审批同意后实施。</w:t>
      </w:r>
    </w:p>
    <w:p w14:paraId="224D700F">
      <w:pPr>
        <w:pStyle w:val="4"/>
        <w:overflowPunct w:val="0"/>
        <w:autoSpaceDE/>
        <w:autoSpaceDN/>
        <w:spacing w:after="0"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第三十条 保障支持措施。</w:t>
      </w:r>
    </w:p>
    <w:p w14:paraId="00B59AE9">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鼓励社会化资金参与。支持社会化机构参与项目筛选、实地考察、尽职调查、风险控制及投后管理。鼓励社会化资金出资参与，对于社会化资金承诺出资且金额高于省级科技项目支持资金的项目，可优先予以立项。</w:t>
      </w:r>
    </w:p>
    <w:p w14:paraId="6D0A6CD5">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服务企业快速发展。完善科技金融服务体系，重点支持项目企业。投资管理机构应协助项目企业规范法人治理和内部管理、对接政府和相关行业协会政策及产业资源、丰富拓展融资渠道，并以优惠条件提供自身运营的各类专业服务（如空间、孵化、咨询等）。</w:t>
      </w:r>
    </w:p>
    <w:p w14:paraId="631CC645">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（三）丰富股权退出渠道。充分利用区域性股权市场、产权交易市场等多层次资本市场功能，拓宽财政股权退出渠道。探索通过股权置换、资产证券化等方式，创新股权项目退出路径。</w:t>
      </w:r>
    </w:p>
    <w:p w14:paraId="5617E2F6">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 附则</w:t>
      </w:r>
    </w:p>
    <w:p w14:paraId="098C14D8">
      <w:pPr>
        <w:pStyle w:val="4"/>
        <w:overflowPunct w:val="0"/>
        <w:autoSpaceDE/>
        <w:autoSpaceDN/>
        <w:spacing w:after="0" w:line="58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sz w:val="32"/>
          <w:szCs w:val="32"/>
        </w:rPr>
        <w:t xml:space="preserve">第三十一条 </w:t>
      </w:r>
      <w:r>
        <w:rPr>
          <w:rFonts w:ascii="Times New Roman" w:hAnsi="Times New Roman" w:eastAsia="仿宋_GB2312" w:cs="Times New Roman"/>
          <w:color w:val="000000" w:themeColor="text1"/>
          <w:sz w:val="32"/>
          <w:szCs w:val="32"/>
        </w:rPr>
        <w:t>本细则由省科技厅会同省财政厅负责解释。</w:t>
      </w:r>
    </w:p>
    <w:p w14:paraId="17215ABA">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第三十二条 施行日期与有效期。</w:t>
      </w:r>
      <w:r>
        <w:rPr>
          <w:rFonts w:ascii="Times New Roman" w:hAnsi="Times New Roman" w:eastAsia="仿宋_GB2312" w:cs="Times New Roman"/>
          <w:color w:val="000000" w:themeColor="text1"/>
          <w:sz w:val="32"/>
          <w:szCs w:val="32"/>
        </w:rPr>
        <w:t>本细则自发布之日起施行，有效期至2028年12月31日，可根据实施情况适时评估修订。</w:t>
      </w:r>
    </w:p>
    <w:p w14:paraId="240999AC">
      <w:pPr>
        <w:overflowPunct w:val="0"/>
        <w:autoSpaceDE/>
        <w:autoSpaceDN/>
        <w:spacing w:line="580" w:lineRule="exact"/>
        <w:rPr>
          <w:rFonts w:ascii="Times New Roman" w:hAnsi="Times New Roman" w:eastAsia="仿宋_GB2312"/>
          <w:sz w:val="32"/>
          <w:szCs w:val="32"/>
        </w:rPr>
      </w:pPr>
    </w:p>
    <w:p w14:paraId="75534345">
      <w:pPr>
        <w:overflowPunct w:val="0"/>
        <w:autoSpaceDE/>
        <w:autoSpaceDN/>
        <w:spacing w:line="580" w:lineRule="exact"/>
        <w:rPr>
          <w:rFonts w:ascii="Times New Roman" w:hAnsi="Times New Roman" w:eastAsia="仿宋_GB2312"/>
          <w:sz w:val="32"/>
          <w:szCs w:val="32"/>
        </w:rPr>
      </w:pPr>
    </w:p>
    <w:p w14:paraId="40A93B6C">
      <w:pPr>
        <w:overflowPunct w:val="0"/>
        <w:autoSpaceDE/>
        <w:autoSpaceDN/>
        <w:spacing w:line="580" w:lineRule="exact"/>
        <w:jc w:val="left"/>
        <w:rPr>
          <w:rFonts w:ascii="Times New Roman" w:hAnsi="Times New Roman"/>
          <w:sz w:val="32"/>
          <w:szCs w:val="32"/>
        </w:rPr>
      </w:pPr>
      <w:r>
        <w:rPr>
          <w:rFonts w:ascii="Times New Roman" w:hAnsi="Times New Roman"/>
          <w:sz w:val="32"/>
          <w:szCs w:val="32"/>
        </w:rPr>
        <w:br w:type="page"/>
      </w:r>
    </w:p>
    <w:p w14:paraId="0FEA2DEC">
      <w:pPr>
        <w:overflowPunct w:val="0"/>
        <w:autoSpaceDE/>
        <w:autoSpaceDN/>
        <w:spacing w:line="580" w:lineRule="exact"/>
        <w:jc w:val="left"/>
        <w:rPr>
          <w:rFonts w:ascii="Times New Roman" w:hAnsi="Times New Roman" w:eastAsia="黑体"/>
          <w:sz w:val="28"/>
          <w:szCs w:val="28"/>
        </w:rPr>
      </w:pPr>
    </w:p>
    <w:p w14:paraId="11712097">
      <w:pPr>
        <w:pStyle w:val="2"/>
        <w:keepNext w:val="0"/>
        <w:keepLines w:val="0"/>
        <w:overflowPunct w:val="0"/>
        <w:autoSpaceDE/>
        <w:autoSpaceDN/>
        <w:spacing w:before="0" w:after="0" w:line="580" w:lineRule="exact"/>
        <w:rPr>
          <w:rFonts w:ascii="Times New Roman" w:hAnsi="Times New Roman" w:cs="Times New Roman"/>
          <w:sz w:val="44"/>
          <w:szCs w:val="44"/>
        </w:rPr>
      </w:pPr>
      <w:r>
        <w:rPr>
          <w:rFonts w:ascii="Times New Roman" w:hAnsi="Times New Roman" w:cs="Times New Roman"/>
          <w:sz w:val="44"/>
          <w:szCs w:val="44"/>
        </w:rPr>
        <w:t>山东省省级“股权联动”科技项目</w:t>
      </w:r>
    </w:p>
    <w:p w14:paraId="3334882D">
      <w:pPr>
        <w:pStyle w:val="2"/>
        <w:keepNext w:val="0"/>
        <w:keepLines w:val="0"/>
        <w:overflowPunct w:val="0"/>
        <w:autoSpaceDE/>
        <w:autoSpaceDN/>
        <w:spacing w:before="0" w:after="0" w:line="580" w:lineRule="exact"/>
        <w:rPr>
          <w:rFonts w:ascii="Times New Roman" w:hAnsi="Times New Roman" w:cs="Times New Roman"/>
          <w:sz w:val="44"/>
          <w:szCs w:val="44"/>
        </w:rPr>
      </w:pPr>
      <w:r>
        <w:rPr>
          <w:rFonts w:ascii="Times New Roman" w:hAnsi="Times New Roman" w:cs="Times New Roman"/>
          <w:sz w:val="44"/>
          <w:szCs w:val="44"/>
        </w:rPr>
        <w:t>管理实施细则</w:t>
      </w:r>
    </w:p>
    <w:p w14:paraId="5C75FEF2">
      <w:pPr>
        <w:overflowPunct w:val="0"/>
        <w:autoSpaceDE/>
        <w:autoSpaceDN/>
        <w:spacing w:line="580" w:lineRule="exact"/>
        <w:jc w:val="center"/>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lang w:val="en-US" w:eastAsia="zh-CN"/>
        </w:rPr>
        <w:t>征求意见</w:t>
      </w:r>
      <w:r>
        <w:rPr>
          <w:rFonts w:ascii="Times New Roman" w:hAnsi="Times New Roman" w:eastAsia="楷体_GB2312"/>
          <w:sz w:val="32"/>
          <w:szCs w:val="32"/>
        </w:rPr>
        <w:t>稿）</w:t>
      </w:r>
    </w:p>
    <w:p w14:paraId="39D0DCD1">
      <w:pPr>
        <w:overflowPunct w:val="0"/>
        <w:autoSpaceDE/>
        <w:autoSpaceDN/>
        <w:spacing w:line="580" w:lineRule="exact"/>
        <w:jc w:val="center"/>
        <w:rPr>
          <w:rFonts w:ascii="Times New Roman" w:hAnsi="Times New Roman" w:eastAsia="黑体"/>
          <w:sz w:val="32"/>
          <w:szCs w:val="32"/>
        </w:rPr>
      </w:pPr>
    </w:p>
    <w:p w14:paraId="2434C515">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14:paraId="22634491">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第一条 功能定位。</w:t>
      </w:r>
      <w:r>
        <w:rPr>
          <w:rFonts w:ascii="Times New Roman" w:hAnsi="Times New Roman" w:eastAsia="仿宋_GB2312"/>
          <w:color w:val="000000" w:themeColor="text1"/>
          <w:sz w:val="32"/>
          <w:szCs w:val="32"/>
        </w:rPr>
        <w:t>为推进科技创新与产业需求和地方发展紧密结合，进一步发挥省级财政科技资金引导作用，凝聚各方力量，开展股权联动支持地方重大科技项目（以下简称股权联动），制定本细则。</w:t>
      </w:r>
    </w:p>
    <w:p w14:paraId="22E2604D">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第二条 概念释义。</w:t>
      </w:r>
      <w:r>
        <w:rPr>
          <w:rFonts w:ascii="Times New Roman" w:hAnsi="Times New Roman" w:eastAsia="仿宋_GB2312"/>
          <w:bCs/>
          <w:sz w:val="32"/>
          <w:szCs w:val="32"/>
        </w:rPr>
        <w:t>“</w:t>
      </w:r>
      <w:r>
        <w:rPr>
          <w:rFonts w:ascii="Times New Roman" w:hAnsi="Times New Roman" w:eastAsia="仿宋_GB2312"/>
          <w:sz w:val="32"/>
          <w:szCs w:val="32"/>
        </w:rPr>
        <w:t>股权联动”是指省级财政科技资金联合财政科技股权投资管理机构（以下简称投资管理机构）资金，相关市、县（区）资金及社会化募集资金，通过组建项目基金或有限合伙企业的方式，聚焦地方重大科技创新项目产业化关键节点，引导社会资本支持具有高成长性、带动性的全省标志性产业链重大科技成果转化、产业化项目，推动产业重大关键共性技术突破，促进产业链整体提升的科技股权投资模式。</w:t>
      </w:r>
    </w:p>
    <w:p w14:paraId="3B385AE4">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第三条 支持对象。</w:t>
      </w:r>
      <w:r>
        <w:rPr>
          <w:rFonts w:ascii="Times New Roman" w:hAnsi="Times New Roman" w:eastAsia="仿宋_GB2312"/>
          <w:sz w:val="32"/>
          <w:szCs w:val="32"/>
        </w:rPr>
        <w:t>申报企业须为山东省内注册的科技型企业，“创新积分制”或“科融信增信评价”通过的企业，拥有产业化潜力、亟待转化的科技成果，具有清晰的股权结构，规范的管理章程，高素质和结构合理的研发团队。项目来源包括本地研发孵化培育的科技创新项目，以及研发在外地、孵化培育及产业化在本地的招商引资科技创新项目。</w:t>
      </w:r>
    </w:p>
    <w:p w14:paraId="0DF79E6C">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支持措施</w:t>
      </w:r>
    </w:p>
    <w:p w14:paraId="69CC304F">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第四条 支持方式。</w:t>
      </w:r>
      <w:r>
        <w:rPr>
          <w:rFonts w:ascii="Times New Roman" w:hAnsi="Times New Roman" w:eastAsia="仿宋_GB2312"/>
          <w:sz w:val="32"/>
          <w:szCs w:val="32"/>
        </w:rPr>
        <w:t>通过组建项目基金或有限合伙企业实施投资，采用“参股不控股”模式，参股比例原则上不超过被投企业总股本25%，且不为第一大股东。可根据项目进展采取分期分批投资方式，并鼓励与“拨投结合”等政策衔接，统筹提供科技金融配套支持。</w:t>
      </w:r>
    </w:p>
    <w:p w14:paraId="0E69AFD4">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第五条 资金来源。</w:t>
      </w:r>
      <w:r>
        <w:rPr>
          <w:rFonts w:ascii="Times New Roman" w:hAnsi="Times New Roman" w:eastAsia="仿宋_GB2312"/>
          <w:sz w:val="32"/>
          <w:szCs w:val="32"/>
        </w:rPr>
        <w:t>省级财政科技创新发展资金；市、县（区）相关主体配套资金；省级投资管理机构自有资金（不低于省级财政出资额）；社会化募资（包括创投机构、银行、项目企业及团队自筹等）。</w:t>
      </w:r>
    </w:p>
    <w:p w14:paraId="18BAC6ED">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第六条 支持标准。</w:t>
      </w:r>
      <w:r>
        <w:rPr>
          <w:rFonts w:ascii="Times New Roman" w:hAnsi="Times New Roman" w:eastAsia="仿宋_GB2312"/>
          <w:sz w:val="32"/>
          <w:szCs w:val="32"/>
        </w:rPr>
        <w:t>项目基金或有限合伙企业规模原则上不超过3亿元；市、县（区）相关主体配套资金（含股权穿透认定出资）不低于省级财政出资的2倍，社会化募资原则上不低于省级财政出资的2倍，鼓励项目企业和团队参与出资。</w:t>
      </w:r>
      <w:bookmarkStart w:id="1" w:name="OLE_LINK27"/>
      <w:r>
        <w:rPr>
          <w:rFonts w:ascii="Times New Roman" w:hAnsi="Times New Roman" w:eastAsia="仿宋_GB2312"/>
          <w:sz w:val="32"/>
          <w:szCs w:val="32"/>
        </w:rPr>
        <w:t>项目基金或有限合伙企业存续期由省级投资管理机构与其他出资人根据项目特点协商确定，鼓励“股权联动”发挥长期资本、耐心资本、战略资本作用，对同一项目国有资本支持可达10年。</w:t>
      </w:r>
      <w:bookmarkEnd w:id="1"/>
    </w:p>
    <w:p w14:paraId="1512CADE">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管理职责</w:t>
      </w:r>
    </w:p>
    <w:p w14:paraId="51453977">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第七条 省财政厅职责。</w:t>
      </w:r>
      <w:r>
        <w:rPr>
          <w:rFonts w:ascii="Times New Roman" w:hAnsi="Times New Roman" w:eastAsia="仿宋_GB2312"/>
          <w:sz w:val="32"/>
          <w:szCs w:val="32"/>
        </w:rPr>
        <w:t>负责省级科技创新发展资金的预算管理和总体安排；根据省委科技委批复的预算及省科技厅的建议，向投资管理机构下达股权投资资金分配文件；对财政股权资金的运作、收益、退出等进行监督；组织预算管理绩效评价和容错机制认定相关工作；审核批准重大项目的投资及退出方案。</w:t>
      </w:r>
    </w:p>
    <w:p w14:paraId="4C8ABFA4">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第八条 省科技厅职责。</w:t>
      </w:r>
      <w:r>
        <w:rPr>
          <w:rFonts w:ascii="Times New Roman" w:hAnsi="Times New Roman" w:eastAsia="仿宋_GB2312"/>
          <w:sz w:val="32"/>
          <w:szCs w:val="32"/>
        </w:rPr>
        <w:t>负责预算编制及执行和预算绩效管理，组织开展项目申报、审核、立项、签约等工作；对项目实施情况进行监管；参与对投资管理机构的考核评价；审批投资管理机构提出的入股建议、投后管理、股权退出、收益分配等方面的重大事项。</w:t>
      </w:r>
    </w:p>
    <w:p w14:paraId="0C0CBB50">
      <w:pPr>
        <w:overflowPunct w:val="0"/>
        <w:autoSpaceDE/>
        <w:autoSpaceDN/>
        <w:spacing w:line="580" w:lineRule="exact"/>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第九条 设区市科技局职责。</w:t>
      </w:r>
      <w:r>
        <w:rPr>
          <w:rFonts w:ascii="Times New Roman" w:hAnsi="Times New Roman" w:eastAsia="仿宋_GB2312"/>
          <w:sz w:val="32"/>
          <w:szCs w:val="32"/>
        </w:rPr>
        <w:t>设区市科技局负责本辖区内股权直投项目的征集、初审和推荐工作，负责审核申报材料的真实性、合规性；协调解决项目实施过程中出现的问题；协助省科技厅开展过程管理、绩效评价、监督检查和项目验收等工作；视项目进展和实际情况，适</w:t>
      </w:r>
      <w:r>
        <w:rPr>
          <w:rFonts w:ascii="Times New Roman" w:hAnsi="Times New Roman" w:eastAsia="仿宋_GB2312"/>
          <w:bCs/>
          <w:sz w:val="32"/>
          <w:szCs w:val="32"/>
        </w:rPr>
        <w:t>时提出项目调整建议。</w:t>
      </w:r>
    </w:p>
    <w:p w14:paraId="0E3EB6EF">
      <w:pPr>
        <w:overflowPunct w:val="0"/>
        <w:autoSpaceDE/>
        <w:autoSpaceDN/>
        <w:spacing w:line="580" w:lineRule="exact"/>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第十条 投资管理机构职责。</w:t>
      </w:r>
      <w:r>
        <w:rPr>
          <w:rFonts w:ascii="Times New Roman" w:hAnsi="Times New Roman" w:eastAsia="仿宋_GB2312"/>
          <w:bCs/>
          <w:sz w:val="32"/>
          <w:szCs w:val="32"/>
        </w:rPr>
        <w:t>负责项目尽调、价值评估、投资管理、风险防控、股权退出等工作，按照投资项目企业章程及股权投资协议约定实施股权管理，跟踪项目进展，参与被投资企业重大事项决策。按程序向省科技厅、省财政厅报送科技股权项目投资决策报告和科技股权项目管理报告。</w:t>
      </w:r>
    </w:p>
    <w:p w14:paraId="6DCD43B4">
      <w:pPr>
        <w:numPr>
          <w:ilvl w:val="255"/>
          <w:numId w:val="0"/>
        </w:num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第十一条 项目企业职责。</w:t>
      </w:r>
      <w:r>
        <w:rPr>
          <w:rFonts w:ascii="Times New Roman" w:hAnsi="Times New Roman" w:eastAsia="仿宋_GB2312"/>
          <w:sz w:val="32"/>
          <w:szCs w:val="32"/>
        </w:rPr>
        <w:t>按照项目合同书、投资协议等保障项目顺利实施，严格执行项目和经费管理规定，对项目目标任务完成、财政资金使用负直接责任；配合开展项目过程管理、绩效评价、监督等工作，及时报告重大成果或重大事项，按要求报送项目进展、资金使用等有关情况；履行科研诚信承诺制度，健全内部管理制度等。</w:t>
      </w:r>
    </w:p>
    <w:p w14:paraId="5111FC44">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工作程序</w:t>
      </w:r>
    </w:p>
    <w:p w14:paraId="3E51EE7E">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第十二条 协议约定。</w:t>
      </w:r>
      <w:r>
        <w:rPr>
          <w:rFonts w:ascii="Times New Roman" w:hAnsi="Times New Roman" w:eastAsia="仿宋_GB2312"/>
          <w:sz w:val="32"/>
          <w:szCs w:val="32"/>
        </w:rPr>
        <w:t>省财政厅、省科技厅与投资管理机构在《省级财政资金股权投资协议》中，明确各方权责、管理要求、考核机制等。</w:t>
      </w:r>
    </w:p>
    <w:p w14:paraId="575B7ECF">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第十三条 项目征集。</w:t>
      </w:r>
      <w:r>
        <w:rPr>
          <w:rFonts w:ascii="Times New Roman" w:hAnsi="Times New Roman" w:eastAsia="仿宋_GB2312"/>
          <w:sz w:val="32"/>
          <w:szCs w:val="32"/>
        </w:rPr>
        <w:t>省科技厅建立常态化项目征集和评审机制，定期发布“股权联动”项目申报通知，明确申报条件，面向全省公开征集项目。</w:t>
      </w:r>
    </w:p>
    <w:p w14:paraId="4BEE09FD">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第十四条 申报与推荐。</w:t>
      </w:r>
      <w:r>
        <w:rPr>
          <w:rFonts w:ascii="Times New Roman" w:hAnsi="Times New Roman" w:eastAsia="仿宋_GB2312"/>
          <w:sz w:val="32"/>
          <w:szCs w:val="32"/>
        </w:rPr>
        <w:t>申报单位按通知要求编制《山东省科技股权“股权联动”项目申请书》及相关附件材料，申报材料提交至企业注册地县（区）科技局；县（区）科技局对申报材料进行初审，符合条件的推荐至设区市科技局；设区市科技局对推荐项目进行审核，汇总并行文推荐至省科技厅。省属投资机构、山东科技大市场可通过驻地设区市科技局推荐项目。</w:t>
      </w:r>
    </w:p>
    <w:p w14:paraId="3EB87323">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第十五条 项目评审。</w:t>
      </w:r>
      <w:r>
        <w:rPr>
          <w:rFonts w:ascii="Times New Roman" w:hAnsi="Times New Roman" w:eastAsia="仿宋_GB2312"/>
          <w:sz w:val="32"/>
          <w:szCs w:val="32"/>
        </w:rPr>
        <w:t>省科技厅组织专家或委托专业机构，对通过形式审查的项目进行综合评审。评审重点包括项目技术先进性、创新性与成熟度；项目必要性、可行性及市场前景；企业研发能力、管理及研发团队和财务状况；预期经济社会效益；支撑省级战略的能力。</w:t>
      </w:r>
      <w:r>
        <w:rPr>
          <w:rFonts w:ascii="Times New Roman" w:hAnsi="Times New Roman" w:eastAsia="仿宋_GB2312"/>
          <w:color w:val="000000" w:themeColor="text1"/>
          <w:sz w:val="32"/>
          <w:szCs w:val="32"/>
        </w:rPr>
        <w:t>根据竞争择优原则，结合评审意见，</w:t>
      </w:r>
      <w:r>
        <w:rPr>
          <w:rFonts w:ascii="Times New Roman" w:hAnsi="Times New Roman" w:eastAsia="仿宋_GB2312"/>
          <w:sz w:val="32"/>
          <w:szCs w:val="32"/>
        </w:rPr>
        <w:t>形成初选项目名单，</w:t>
      </w:r>
      <w:bookmarkStart w:id="2" w:name="OLE_LINK34"/>
      <w:bookmarkStart w:id="3" w:name="OLE_LINK33"/>
      <w:r>
        <w:rPr>
          <w:rFonts w:ascii="Times New Roman" w:hAnsi="Times New Roman" w:eastAsia="仿宋_GB2312"/>
          <w:sz w:val="32"/>
          <w:szCs w:val="32"/>
        </w:rPr>
        <w:t>纳入省级科技“股权联动”项目库管理。项目库实行动态滚动管理，入库项目有效期一般为3年。</w:t>
      </w:r>
      <w:bookmarkEnd w:id="2"/>
      <w:bookmarkEnd w:id="3"/>
    </w:p>
    <w:p w14:paraId="7709DE29">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第十六条 项目推荐。</w:t>
      </w:r>
      <w:r>
        <w:rPr>
          <w:rFonts w:ascii="Times New Roman" w:hAnsi="Times New Roman" w:eastAsia="仿宋_GB2312"/>
          <w:color w:val="000000" w:themeColor="text1"/>
          <w:sz w:val="32"/>
          <w:szCs w:val="32"/>
        </w:rPr>
        <w:t>省科技厅将公示无异议的“股权联动”初选项目名单，推荐给投资管理机构。</w:t>
      </w:r>
    </w:p>
    <w:p w14:paraId="1049080A">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第十七条 尽职调查和投资谈判。</w:t>
      </w:r>
      <w:r>
        <w:rPr>
          <w:rFonts w:ascii="Times New Roman" w:hAnsi="Times New Roman" w:eastAsia="仿宋_GB2312"/>
          <w:sz w:val="32"/>
          <w:szCs w:val="32"/>
        </w:rPr>
        <w:t>投资管理机构在约定时间内，对推荐名单中的项目进行深入的尽职调查和投资价值评估。在尽职调查基础上，投资管理机构与被投资企业就投资条款进行市场化谈判。根据尽调和谈判结果，形成《股权评估报告》和《投资建议书》，提交省科技厅和省财政厅。</w:t>
      </w:r>
    </w:p>
    <w:p w14:paraId="3948D7F2">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第十八条 确定投资计划。</w:t>
      </w:r>
      <w:r>
        <w:rPr>
          <w:rFonts w:ascii="Times New Roman" w:hAnsi="Times New Roman" w:eastAsia="仿宋_GB2312"/>
          <w:sz w:val="32"/>
          <w:szCs w:val="32"/>
        </w:rPr>
        <w:t>省科技厅会同省财政厅对投资管理机构提交的《股权评估报告》和《投资建议书》进行审定，按程序确定股权直投项目名单及具体的投资计划方案。</w:t>
      </w:r>
    </w:p>
    <w:p w14:paraId="672AFFD7">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第十九条 组建投资主体。</w:t>
      </w:r>
      <w:r>
        <w:rPr>
          <w:rFonts w:ascii="Times New Roman" w:hAnsi="Times New Roman" w:eastAsia="仿宋_GB2312"/>
          <w:sz w:val="32"/>
          <w:szCs w:val="32"/>
        </w:rPr>
        <w:t>省级投资管理机构与</w:t>
      </w:r>
      <w:bookmarkStart w:id="4" w:name="OLE_LINK32"/>
      <w:bookmarkStart w:id="5" w:name="OLE_LINK30"/>
      <w:bookmarkStart w:id="6" w:name="OLE_LINK31"/>
      <w:r>
        <w:rPr>
          <w:rFonts w:ascii="Times New Roman" w:hAnsi="Times New Roman" w:eastAsia="仿宋_GB2312"/>
          <w:sz w:val="32"/>
          <w:szCs w:val="32"/>
        </w:rPr>
        <w:t>市、县（区）相关出资主体、社会化募资主体</w:t>
      </w:r>
      <w:bookmarkEnd w:id="4"/>
      <w:bookmarkEnd w:id="5"/>
      <w:bookmarkEnd w:id="6"/>
      <w:r>
        <w:rPr>
          <w:rFonts w:ascii="Times New Roman" w:hAnsi="Times New Roman" w:eastAsia="仿宋_GB2312"/>
          <w:sz w:val="32"/>
          <w:szCs w:val="32"/>
        </w:rPr>
        <w:t>签订合伙协议，组建项目基金或有限合伙企业，以项目基金或有限合伙企业与被投企业签订投资协议，明确股权比例、资金用途、股东权利及退出方式等。</w:t>
      </w:r>
    </w:p>
    <w:p w14:paraId="03F08369">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第二十条 完成投资。</w:t>
      </w:r>
      <w:r>
        <w:rPr>
          <w:rFonts w:ascii="Times New Roman" w:hAnsi="Times New Roman" w:eastAsia="仿宋_GB2312"/>
          <w:sz w:val="32"/>
          <w:szCs w:val="32"/>
        </w:rPr>
        <w:t>省级投资管理机构与市、县（区）相关出资主体、社会化募资主体向项目基金或有限合伙企业实缴出资，可采取分期分批方式出资；完成实缴出资后按投资协议将资金划入被投企业账户，可采取分期分批方式投资，并督促企业在30日内完成章程修改及工商变更，并向省科技厅、省财政厅书面报告。</w:t>
      </w:r>
    </w:p>
    <w:p w14:paraId="71A598DB">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第二十一条 投后管理。</w:t>
      </w:r>
      <w:r>
        <w:rPr>
          <w:rFonts w:ascii="Times New Roman" w:hAnsi="Times New Roman" w:eastAsia="仿宋_GB2312"/>
          <w:sz w:val="32"/>
          <w:szCs w:val="32"/>
        </w:rPr>
        <w:t>完成投资后，由投资管理机构行使股东权利，依据《股权投资协议》和公司章程，参与被投资企业重大决策，提供赋能支持。建立健全投后管理体系，定期跟踪项目进展、企业经营和财务状况，进行风险评估。每年向省财政厅、省科技厅书面报告情况，重大事项及时报告；发现重大风险隐患时，及时预警并采取有效措施。</w:t>
      </w:r>
    </w:p>
    <w:p w14:paraId="36C996D6">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第二十二条 股权退出。</w:t>
      </w:r>
      <w:r>
        <w:rPr>
          <w:rFonts w:ascii="Times New Roman" w:hAnsi="Times New Roman" w:eastAsia="仿宋_GB2312"/>
          <w:sz w:val="32"/>
          <w:szCs w:val="32"/>
        </w:rPr>
        <w:t>达到投资协议约定的投资年限、实现约定的投资目标（如达到一定营收/利润指标、成功上市等），或触发协议约定的提前退出条款（如企业重大违约、经营困难等）时，启动退出程序。主要通过股权转让（包括协议转让、公开挂牌转让）、股东（企业）回购、产权交易所交易等市场化、法治化方式退出。在企业清算解散时按法定程序退出。由省级投资管理机构根据市场情况、企业状况和协议约定，制定具体退出方案，报省财政厅、省科技厅备案或批准后实施。退出所得资金（包括本金、股息、分红及退出收益，扣除相关税费和合理成本后）按规定上缴省级国库或用于滚动投资。</w:t>
      </w:r>
    </w:p>
    <w:p w14:paraId="3929FCFF">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风险管理与保障措施</w:t>
      </w:r>
    </w:p>
    <w:p w14:paraId="25BC399C">
      <w:pPr>
        <w:overflowPunct w:val="0"/>
        <w:autoSpaceDE/>
        <w:autoSpaceDN/>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第二十三条 监督管理。</w:t>
      </w:r>
      <w:r>
        <w:rPr>
          <w:rFonts w:ascii="Times New Roman" w:hAnsi="Times New Roman" w:eastAsia="仿宋_GB2312"/>
          <w:sz w:val="32"/>
          <w:szCs w:val="32"/>
        </w:rPr>
        <w:t>投资管理机构、项目企业应切实强化内部控制，优化完善风险防控机制，积极配合审计、财政、科技等部门的监督检查。对项目资金管理使用过程中存在违规、违纪、违法行为的，按照国家有关法律法规规定严肃处理。</w:t>
      </w:r>
    </w:p>
    <w:p w14:paraId="42A8F12B">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第二十四条 绩效评价与容错机制。</w:t>
      </w:r>
      <w:r>
        <w:rPr>
          <w:rFonts w:ascii="Times New Roman" w:hAnsi="Times New Roman" w:eastAsia="仿宋_GB2312" w:cs="Times New Roman"/>
          <w:sz w:val="32"/>
          <w:szCs w:val="32"/>
        </w:rPr>
        <w:t>省科技厅组织对投资管理机构、项目企业进行绩效评价，省财政厅负责组织指导预算绩效管理工作。建立股权投资管理运作容错免责机制，对投资管理机构、项目企业已履行勤勉尽责义务、备案相关事项，但由于客观因素未达到预期目标或出现投资损失的，在绩效评价时予以剔除。</w:t>
      </w:r>
    </w:p>
    <w:p w14:paraId="3FF90357">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第二十五条 延长投资期限。</w:t>
      </w:r>
      <w:r>
        <w:rPr>
          <w:rFonts w:ascii="Times New Roman" w:hAnsi="Times New Roman" w:eastAsia="仿宋_GB2312" w:cs="Times New Roman"/>
          <w:sz w:val="32"/>
          <w:szCs w:val="32"/>
        </w:rPr>
        <w:t>项目投资期满，企业提出延期申请的，投资管理机构和企业协商确定延期方案，并报省财政厅、省科技厅审批同意后实施。</w:t>
      </w:r>
    </w:p>
    <w:p w14:paraId="0AE9A245">
      <w:pPr>
        <w:pStyle w:val="4"/>
        <w:overflowPunct w:val="0"/>
        <w:autoSpaceDE/>
        <w:autoSpaceDN/>
        <w:spacing w:after="0"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第二十六条 保障支持措施。</w:t>
      </w:r>
    </w:p>
    <w:p w14:paraId="5AF93661">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鼓励社会化资金参与。支持社会化机构参与项目筛选、实地考察、尽职调查、风险控制及投后管理。鼓励社会化资金出资参与，对于社会化资金承诺出资且金额高于省级科技项目支持资金的项目，可优先予以立项。</w:t>
      </w:r>
    </w:p>
    <w:p w14:paraId="07F8E1F8">
      <w:pPr>
        <w:pStyle w:val="4"/>
        <w:overflowPunct w:val="0"/>
        <w:autoSpaceDE/>
        <w:autoSpaceDN/>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服务企业快速发展。完善科技金融服务体系，重点支持项目企业。投资管理机构应协助项目企业规范法人治理和内部管理、对接政府和相关行业协会政策及产业资源、丰富拓展融资渠道，并以优惠条件提供自身运营的各类专业服务（如空间、孵化、咨询等）。</w:t>
      </w:r>
    </w:p>
    <w:p w14:paraId="634A2D3F">
      <w:pPr>
        <w:pStyle w:val="4"/>
        <w:overflowPunct w:val="0"/>
        <w:autoSpaceDE/>
        <w:autoSpaceDN/>
        <w:spacing w:after="0" w:line="58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（三）丰富股权退出渠道。充分利用区域性股权市场、产权交易市场等多层次资本市场功能，拓宽财政股权退出渠道。探索通过股权置换、资产证券化等方式，创新股权项目退出路径。</w:t>
      </w:r>
    </w:p>
    <w:p w14:paraId="085E37E0">
      <w:pPr>
        <w:pStyle w:val="4"/>
        <w:overflowPunct w:val="0"/>
        <w:autoSpaceDE/>
        <w:autoSpaceDN/>
        <w:spacing w:beforeLines="50" w:afterLines="50"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 附则</w:t>
      </w:r>
    </w:p>
    <w:p w14:paraId="65D39F55">
      <w:pPr>
        <w:pStyle w:val="4"/>
        <w:overflowPunct w:val="0"/>
        <w:autoSpaceDE/>
        <w:autoSpaceDN/>
        <w:spacing w:after="0" w:line="58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sz w:val="32"/>
          <w:szCs w:val="32"/>
        </w:rPr>
        <w:t xml:space="preserve">第二十七条 </w:t>
      </w:r>
      <w:r>
        <w:rPr>
          <w:rFonts w:ascii="Times New Roman" w:hAnsi="Times New Roman" w:eastAsia="仿宋_GB2312" w:cs="Times New Roman"/>
          <w:color w:val="000000" w:themeColor="text1"/>
          <w:sz w:val="32"/>
          <w:szCs w:val="32"/>
        </w:rPr>
        <w:t>本细则由省科技厅会同省财政厅负责解释。</w:t>
      </w:r>
    </w:p>
    <w:p w14:paraId="2D902BAB">
      <w:pPr>
        <w:pStyle w:val="4"/>
        <w:overflowPunct w:val="0"/>
        <w:autoSpaceDE/>
        <w:autoSpaceDN/>
        <w:spacing w:after="0"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第二十八条 施行日期与有效期。</w:t>
      </w:r>
      <w:r>
        <w:rPr>
          <w:rFonts w:ascii="Times New Roman" w:hAnsi="Times New Roman" w:eastAsia="仿宋_GB2312" w:cs="Times New Roman"/>
          <w:color w:val="000000" w:themeColor="text1"/>
          <w:sz w:val="32"/>
          <w:szCs w:val="32"/>
        </w:rPr>
        <w:t>本细则自发布之日起施行，有效期至2028年12月31日，可根据实施情况适时评估修订。</w:t>
      </w:r>
    </w:p>
    <w:p w14:paraId="4BB63CF8">
      <w:pPr>
        <w:overflowPunct w:val="0"/>
        <w:autoSpaceDE/>
        <w:autoSpaceDN/>
        <w:spacing w:line="580" w:lineRule="exact"/>
        <w:rPr>
          <w:rFonts w:ascii="Times New Roman" w:hAnsi="Times New Roman" w:eastAsia="楷体_GB2312"/>
          <w:sz w:val="32"/>
          <w:szCs w:val="32"/>
        </w:rPr>
      </w:pPr>
    </w:p>
    <w:p w14:paraId="325E7FAF">
      <w:pPr>
        <w:overflowPunct w:val="0"/>
        <w:autoSpaceDE/>
        <w:autoSpaceDN/>
        <w:spacing w:line="580" w:lineRule="exact"/>
        <w:rPr>
          <w:rFonts w:ascii="Times New Roman" w:hAnsi="Times New Roman" w:eastAsia="楷体_GB2312"/>
          <w:sz w:val="32"/>
          <w:szCs w:val="32"/>
        </w:rPr>
      </w:pPr>
    </w:p>
    <w:p w14:paraId="24C0C333">
      <w:pPr>
        <w:overflowPunct w:val="0"/>
        <w:autoSpaceDE/>
        <w:autoSpaceDN/>
        <w:spacing w:line="580" w:lineRule="exact"/>
        <w:rPr>
          <w:rFonts w:ascii="Times New Roman" w:hAnsi="Times New Roman" w:eastAsia="楷体_GB2312"/>
          <w:sz w:val="32"/>
          <w:szCs w:val="32"/>
        </w:rPr>
      </w:pPr>
    </w:p>
    <w:p w14:paraId="218F4FB8">
      <w:pPr>
        <w:overflowPunct w:val="0"/>
        <w:autoSpaceDE/>
        <w:autoSpaceDN/>
        <w:spacing w:line="580" w:lineRule="exact"/>
        <w:ind w:firstLine="640" w:firstLineChars="200"/>
        <w:rPr>
          <w:rFonts w:ascii="Times New Roman" w:hAnsi="Times New Roman" w:eastAsia="楷体_GB2312"/>
          <w:sz w:val="32"/>
          <w:szCs w:val="32"/>
        </w:rPr>
      </w:pPr>
    </w:p>
    <w:p w14:paraId="61CE2825">
      <w:pPr>
        <w:overflowPunct w:val="0"/>
        <w:autoSpaceDE/>
        <w:autoSpaceDN/>
        <w:spacing w:line="580" w:lineRule="exact"/>
        <w:ind w:firstLine="400" w:firstLineChars="200"/>
        <w:rPr>
          <w:rFonts w:ascii="Times New Roman" w:hAnsi="Times New Roman" w:eastAsia="楷体_GB2312"/>
          <w:sz w:val="20"/>
          <w:szCs w:val="21"/>
        </w:rPr>
      </w:pPr>
    </w:p>
    <w:p w14:paraId="08CE88F7">
      <w:pPr>
        <w:overflowPunct w:val="0"/>
        <w:autoSpaceDE/>
        <w:autoSpaceDN/>
        <w:spacing w:line="580" w:lineRule="exact"/>
        <w:ind w:firstLine="400" w:firstLineChars="200"/>
        <w:rPr>
          <w:rFonts w:ascii="Times New Roman" w:hAnsi="Times New Roman" w:eastAsia="楷体_GB2312"/>
          <w:sz w:val="20"/>
          <w:szCs w:val="21"/>
        </w:rPr>
      </w:pPr>
    </w:p>
    <w:sectPr>
      <w:footerReference r:id="rId3" w:type="default"/>
      <w:footerReference r:id="rId4" w:type="even"/>
      <w:pgSz w:w="11906" w:h="16838"/>
      <w:pgMar w:top="2098" w:right="1531" w:bottom="1985"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FZXiaoBiaoSong-B05">
    <w:panose1 w:val="03000509000000000000"/>
    <w:charset w:val="86"/>
    <w:family w:val="auto"/>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2000000"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微软雅黑">
    <w:panose1 w:val="020B0503020204020204"/>
    <w:charset w:val="86"/>
    <w:family w:val="auto"/>
    <w:pitch w:val="default"/>
    <w:sig w:usb0="A0000287" w:usb1="28CF3C52"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8653735"/>
      <w:docPartObj>
        <w:docPartGallery w:val="autotext"/>
      </w:docPartObj>
    </w:sdtPr>
    <w:sdtEndPr>
      <w:rPr>
        <w:rFonts w:asciiTheme="minorEastAsia" w:hAnsiTheme="minorEastAsia" w:eastAsiaTheme="minorEastAsia"/>
        <w:sz w:val="28"/>
        <w:szCs w:val="28"/>
      </w:rPr>
    </w:sdtEndPr>
    <w:sdtContent>
      <w:p w14:paraId="5E39F91A">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8653737"/>
      <w:docPartObj>
        <w:docPartGallery w:val="autotext"/>
      </w:docPartObj>
    </w:sdtPr>
    <w:sdtEndPr>
      <w:rPr>
        <w:rFonts w:asciiTheme="minorEastAsia" w:hAnsiTheme="minorEastAsia" w:eastAsiaTheme="minorEastAsia"/>
        <w:sz w:val="28"/>
        <w:szCs w:val="28"/>
      </w:rPr>
    </w:sdtEndPr>
    <w:sdtContent>
      <w:p w14:paraId="17F1F8FD">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3E2C"/>
    <w:rsid w:val="0000043B"/>
    <w:rsid w:val="00000453"/>
    <w:rsid w:val="000005FE"/>
    <w:rsid w:val="0000103D"/>
    <w:rsid w:val="00002E79"/>
    <w:rsid w:val="000031DC"/>
    <w:rsid w:val="00003655"/>
    <w:rsid w:val="00003BE2"/>
    <w:rsid w:val="00004E6F"/>
    <w:rsid w:val="0001005E"/>
    <w:rsid w:val="000109E9"/>
    <w:rsid w:val="0001273F"/>
    <w:rsid w:val="0001317A"/>
    <w:rsid w:val="00014727"/>
    <w:rsid w:val="000155E0"/>
    <w:rsid w:val="0001606C"/>
    <w:rsid w:val="0001632D"/>
    <w:rsid w:val="00016985"/>
    <w:rsid w:val="00017132"/>
    <w:rsid w:val="0001747E"/>
    <w:rsid w:val="00021328"/>
    <w:rsid w:val="00021ADA"/>
    <w:rsid w:val="00021C38"/>
    <w:rsid w:val="00022125"/>
    <w:rsid w:val="00023285"/>
    <w:rsid w:val="00023413"/>
    <w:rsid w:val="00024472"/>
    <w:rsid w:val="0002547A"/>
    <w:rsid w:val="0002668E"/>
    <w:rsid w:val="0002778C"/>
    <w:rsid w:val="00027B2E"/>
    <w:rsid w:val="00031990"/>
    <w:rsid w:val="00032178"/>
    <w:rsid w:val="00032D14"/>
    <w:rsid w:val="000331A4"/>
    <w:rsid w:val="0003355B"/>
    <w:rsid w:val="000347D7"/>
    <w:rsid w:val="00034DBC"/>
    <w:rsid w:val="00035889"/>
    <w:rsid w:val="0003615F"/>
    <w:rsid w:val="00036204"/>
    <w:rsid w:val="00036CBF"/>
    <w:rsid w:val="000412A8"/>
    <w:rsid w:val="000413C6"/>
    <w:rsid w:val="000424B2"/>
    <w:rsid w:val="00042892"/>
    <w:rsid w:val="00042EEC"/>
    <w:rsid w:val="00042FBB"/>
    <w:rsid w:val="00043299"/>
    <w:rsid w:val="000435EB"/>
    <w:rsid w:val="000438CB"/>
    <w:rsid w:val="000439DA"/>
    <w:rsid w:val="000442EE"/>
    <w:rsid w:val="00052BEE"/>
    <w:rsid w:val="0006045E"/>
    <w:rsid w:val="00064706"/>
    <w:rsid w:val="000652EB"/>
    <w:rsid w:val="00065EAE"/>
    <w:rsid w:val="000666FF"/>
    <w:rsid w:val="000668A7"/>
    <w:rsid w:val="00070B1C"/>
    <w:rsid w:val="0007156A"/>
    <w:rsid w:val="00071E62"/>
    <w:rsid w:val="00072965"/>
    <w:rsid w:val="00073E1A"/>
    <w:rsid w:val="00074D7C"/>
    <w:rsid w:val="0007563E"/>
    <w:rsid w:val="00076BCC"/>
    <w:rsid w:val="00080F40"/>
    <w:rsid w:val="00081A19"/>
    <w:rsid w:val="000838E8"/>
    <w:rsid w:val="000849C2"/>
    <w:rsid w:val="00085698"/>
    <w:rsid w:val="00086455"/>
    <w:rsid w:val="000866DA"/>
    <w:rsid w:val="00086C7E"/>
    <w:rsid w:val="0009179D"/>
    <w:rsid w:val="00091AD1"/>
    <w:rsid w:val="00091DE9"/>
    <w:rsid w:val="00092EE0"/>
    <w:rsid w:val="00093F6F"/>
    <w:rsid w:val="00094490"/>
    <w:rsid w:val="00096FC3"/>
    <w:rsid w:val="000A5A67"/>
    <w:rsid w:val="000A5EA4"/>
    <w:rsid w:val="000B0EBC"/>
    <w:rsid w:val="000B0FFF"/>
    <w:rsid w:val="000B1241"/>
    <w:rsid w:val="000B1C4F"/>
    <w:rsid w:val="000B1F8A"/>
    <w:rsid w:val="000B27EE"/>
    <w:rsid w:val="000B362D"/>
    <w:rsid w:val="000B3C18"/>
    <w:rsid w:val="000B4C94"/>
    <w:rsid w:val="000B4FD0"/>
    <w:rsid w:val="000B7553"/>
    <w:rsid w:val="000B7835"/>
    <w:rsid w:val="000C0E15"/>
    <w:rsid w:val="000C510F"/>
    <w:rsid w:val="000C60FE"/>
    <w:rsid w:val="000C6133"/>
    <w:rsid w:val="000C6D5D"/>
    <w:rsid w:val="000D01D4"/>
    <w:rsid w:val="000D2413"/>
    <w:rsid w:val="000D3029"/>
    <w:rsid w:val="000D3290"/>
    <w:rsid w:val="000D336D"/>
    <w:rsid w:val="000D5FBF"/>
    <w:rsid w:val="000D6229"/>
    <w:rsid w:val="000E2085"/>
    <w:rsid w:val="000E2A6A"/>
    <w:rsid w:val="000E2D77"/>
    <w:rsid w:val="000E703D"/>
    <w:rsid w:val="000E70E7"/>
    <w:rsid w:val="000F0A4A"/>
    <w:rsid w:val="000F0FE8"/>
    <w:rsid w:val="000F355B"/>
    <w:rsid w:val="000F3CE5"/>
    <w:rsid w:val="000F4028"/>
    <w:rsid w:val="000F4207"/>
    <w:rsid w:val="000F470C"/>
    <w:rsid w:val="000F4F80"/>
    <w:rsid w:val="000F6C91"/>
    <w:rsid w:val="000F7D93"/>
    <w:rsid w:val="00101C4A"/>
    <w:rsid w:val="00103BB2"/>
    <w:rsid w:val="001056E8"/>
    <w:rsid w:val="00105746"/>
    <w:rsid w:val="00107706"/>
    <w:rsid w:val="0011219D"/>
    <w:rsid w:val="00112ADD"/>
    <w:rsid w:val="00112B17"/>
    <w:rsid w:val="00117BFD"/>
    <w:rsid w:val="00120601"/>
    <w:rsid w:val="001209DB"/>
    <w:rsid w:val="00122850"/>
    <w:rsid w:val="00123F6A"/>
    <w:rsid w:val="00124A15"/>
    <w:rsid w:val="00124B7C"/>
    <w:rsid w:val="001273C2"/>
    <w:rsid w:val="00127712"/>
    <w:rsid w:val="00131E43"/>
    <w:rsid w:val="001333CC"/>
    <w:rsid w:val="00134157"/>
    <w:rsid w:val="00136199"/>
    <w:rsid w:val="00140147"/>
    <w:rsid w:val="0014150F"/>
    <w:rsid w:val="00141FCC"/>
    <w:rsid w:val="00142052"/>
    <w:rsid w:val="001518DF"/>
    <w:rsid w:val="00151CF9"/>
    <w:rsid w:val="0015272D"/>
    <w:rsid w:val="001536C0"/>
    <w:rsid w:val="0015522D"/>
    <w:rsid w:val="0015586C"/>
    <w:rsid w:val="00155965"/>
    <w:rsid w:val="00155D9B"/>
    <w:rsid w:val="00156A2B"/>
    <w:rsid w:val="00157570"/>
    <w:rsid w:val="001577B1"/>
    <w:rsid w:val="0016096E"/>
    <w:rsid w:val="00160B8C"/>
    <w:rsid w:val="001637F3"/>
    <w:rsid w:val="001638C3"/>
    <w:rsid w:val="00164484"/>
    <w:rsid w:val="00165814"/>
    <w:rsid w:val="00165841"/>
    <w:rsid w:val="001672B8"/>
    <w:rsid w:val="00167F23"/>
    <w:rsid w:val="00167F3D"/>
    <w:rsid w:val="001715D6"/>
    <w:rsid w:val="0017595F"/>
    <w:rsid w:val="001761DE"/>
    <w:rsid w:val="00176D45"/>
    <w:rsid w:val="0017749B"/>
    <w:rsid w:val="00180ED8"/>
    <w:rsid w:val="00181352"/>
    <w:rsid w:val="00181ED4"/>
    <w:rsid w:val="00182B37"/>
    <w:rsid w:val="00185AB8"/>
    <w:rsid w:val="001900B6"/>
    <w:rsid w:val="00190DAE"/>
    <w:rsid w:val="001928C0"/>
    <w:rsid w:val="00192BBD"/>
    <w:rsid w:val="0019525D"/>
    <w:rsid w:val="001954FD"/>
    <w:rsid w:val="00195715"/>
    <w:rsid w:val="00195D65"/>
    <w:rsid w:val="001965DE"/>
    <w:rsid w:val="00196735"/>
    <w:rsid w:val="0019716C"/>
    <w:rsid w:val="001A07D9"/>
    <w:rsid w:val="001A3B30"/>
    <w:rsid w:val="001A3D9E"/>
    <w:rsid w:val="001A401A"/>
    <w:rsid w:val="001A7E9C"/>
    <w:rsid w:val="001B075A"/>
    <w:rsid w:val="001B1A25"/>
    <w:rsid w:val="001B38BD"/>
    <w:rsid w:val="001B4FFC"/>
    <w:rsid w:val="001B5DEF"/>
    <w:rsid w:val="001B717A"/>
    <w:rsid w:val="001C09AB"/>
    <w:rsid w:val="001C1069"/>
    <w:rsid w:val="001C170B"/>
    <w:rsid w:val="001C4A3F"/>
    <w:rsid w:val="001C4E78"/>
    <w:rsid w:val="001C739F"/>
    <w:rsid w:val="001C76ED"/>
    <w:rsid w:val="001D04C6"/>
    <w:rsid w:val="001D130D"/>
    <w:rsid w:val="001D1930"/>
    <w:rsid w:val="001D2564"/>
    <w:rsid w:val="001D3967"/>
    <w:rsid w:val="001D4F91"/>
    <w:rsid w:val="001D6012"/>
    <w:rsid w:val="001D7C1F"/>
    <w:rsid w:val="001E00D1"/>
    <w:rsid w:val="001E2780"/>
    <w:rsid w:val="001E2F36"/>
    <w:rsid w:val="001E54F9"/>
    <w:rsid w:val="001E6CE3"/>
    <w:rsid w:val="001E7FB3"/>
    <w:rsid w:val="001F05C1"/>
    <w:rsid w:val="001F1037"/>
    <w:rsid w:val="001F50CE"/>
    <w:rsid w:val="00200D87"/>
    <w:rsid w:val="00201BFB"/>
    <w:rsid w:val="0020690E"/>
    <w:rsid w:val="002070F1"/>
    <w:rsid w:val="0020748F"/>
    <w:rsid w:val="00211AFB"/>
    <w:rsid w:val="00211C40"/>
    <w:rsid w:val="00211E30"/>
    <w:rsid w:val="002132D7"/>
    <w:rsid w:val="00214021"/>
    <w:rsid w:val="00214531"/>
    <w:rsid w:val="00215089"/>
    <w:rsid w:val="002205E8"/>
    <w:rsid w:val="002217B2"/>
    <w:rsid w:val="0022312A"/>
    <w:rsid w:val="002231E5"/>
    <w:rsid w:val="002257CE"/>
    <w:rsid w:val="00231C4F"/>
    <w:rsid w:val="00233540"/>
    <w:rsid w:val="00234C2F"/>
    <w:rsid w:val="00234C47"/>
    <w:rsid w:val="00235A83"/>
    <w:rsid w:val="00235D4E"/>
    <w:rsid w:val="0023731B"/>
    <w:rsid w:val="00243B82"/>
    <w:rsid w:val="00243F21"/>
    <w:rsid w:val="00245882"/>
    <w:rsid w:val="00247D62"/>
    <w:rsid w:val="00247EDE"/>
    <w:rsid w:val="0025225C"/>
    <w:rsid w:val="0025367D"/>
    <w:rsid w:val="00253C38"/>
    <w:rsid w:val="00253FA3"/>
    <w:rsid w:val="002561CD"/>
    <w:rsid w:val="00257760"/>
    <w:rsid w:val="00261891"/>
    <w:rsid w:val="00264056"/>
    <w:rsid w:val="0026429F"/>
    <w:rsid w:val="0026495B"/>
    <w:rsid w:val="002672E7"/>
    <w:rsid w:val="002673D9"/>
    <w:rsid w:val="00267E5D"/>
    <w:rsid w:val="002724C1"/>
    <w:rsid w:val="0027778D"/>
    <w:rsid w:val="0028147D"/>
    <w:rsid w:val="00283877"/>
    <w:rsid w:val="00283E68"/>
    <w:rsid w:val="00284EF7"/>
    <w:rsid w:val="002866F0"/>
    <w:rsid w:val="00287CFD"/>
    <w:rsid w:val="00287F0C"/>
    <w:rsid w:val="002A18C5"/>
    <w:rsid w:val="002A208D"/>
    <w:rsid w:val="002A3187"/>
    <w:rsid w:val="002A36CF"/>
    <w:rsid w:val="002A3D59"/>
    <w:rsid w:val="002A3E78"/>
    <w:rsid w:val="002A46F0"/>
    <w:rsid w:val="002A5405"/>
    <w:rsid w:val="002B14FD"/>
    <w:rsid w:val="002B3819"/>
    <w:rsid w:val="002B502E"/>
    <w:rsid w:val="002B6A2B"/>
    <w:rsid w:val="002B6DAA"/>
    <w:rsid w:val="002B6FE8"/>
    <w:rsid w:val="002C0433"/>
    <w:rsid w:val="002C2AFE"/>
    <w:rsid w:val="002C46EA"/>
    <w:rsid w:val="002C513E"/>
    <w:rsid w:val="002D070E"/>
    <w:rsid w:val="002D0CF8"/>
    <w:rsid w:val="002D2AAA"/>
    <w:rsid w:val="002D2DB0"/>
    <w:rsid w:val="002D4731"/>
    <w:rsid w:val="002D4BBF"/>
    <w:rsid w:val="002D5F7D"/>
    <w:rsid w:val="002D6031"/>
    <w:rsid w:val="002D6849"/>
    <w:rsid w:val="002D6CA2"/>
    <w:rsid w:val="002E046E"/>
    <w:rsid w:val="002E3D21"/>
    <w:rsid w:val="002E3EA5"/>
    <w:rsid w:val="002E548A"/>
    <w:rsid w:val="002E63FE"/>
    <w:rsid w:val="002F0120"/>
    <w:rsid w:val="002F08D0"/>
    <w:rsid w:val="002F2838"/>
    <w:rsid w:val="002F2E02"/>
    <w:rsid w:val="002F44D4"/>
    <w:rsid w:val="00301C18"/>
    <w:rsid w:val="00302771"/>
    <w:rsid w:val="00302F94"/>
    <w:rsid w:val="00306230"/>
    <w:rsid w:val="0031087E"/>
    <w:rsid w:val="003113F4"/>
    <w:rsid w:val="00313226"/>
    <w:rsid w:val="00313D13"/>
    <w:rsid w:val="00314870"/>
    <w:rsid w:val="00314BF9"/>
    <w:rsid w:val="003216EF"/>
    <w:rsid w:val="0032246F"/>
    <w:rsid w:val="00322678"/>
    <w:rsid w:val="00323CC7"/>
    <w:rsid w:val="0032561F"/>
    <w:rsid w:val="0032607A"/>
    <w:rsid w:val="0033171B"/>
    <w:rsid w:val="00332203"/>
    <w:rsid w:val="00333B5E"/>
    <w:rsid w:val="00333C1F"/>
    <w:rsid w:val="00335267"/>
    <w:rsid w:val="00335999"/>
    <w:rsid w:val="00342C72"/>
    <w:rsid w:val="0034481B"/>
    <w:rsid w:val="00346AFF"/>
    <w:rsid w:val="00346F44"/>
    <w:rsid w:val="00351027"/>
    <w:rsid w:val="00352087"/>
    <w:rsid w:val="0035208A"/>
    <w:rsid w:val="00352472"/>
    <w:rsid w:val="00353976"/>
    <w:rsid w:val="003545C8"/>
    <w:rsid w:val="00356682"/>
    <w:rsid w:val="00360F3D"/>
    <w:rsid w:val="00361BEA"/>
    <w:rsid w:val="0036305C"/>
    <w:rsid w:val="0036314B"/>
    <w:rsid w:val="0036348D"/>
    <w:rsid w:val="0036459F"/>
    <w:rsid w:val="003655FF"/>
    <w:rsid w:val="00366155"/>
    <w:rsid w:val="00366CBB"/>
    <w:rsid w:val="003727C6"/>
    <w:rsid w:val="00374D9B"/>
    <w:rsid w:val="00376E83"/>
    <w:rsid w:val="0038108F"/>
    <w:rsid w:val="0038246D"/>
    <w:rsid w:val="003847DD"/>
    <w:rsid w:val="00385978"/>
    <w:rsid w:val="00386063"/>
    <w:rsid w:val="00386D2C"/>
    <w:rsid w:val="00386F36"/>
    <w:rsid w:val="00390312"/>
    <w:rsid w:val="00390EFB"/>
    <w:rsid w:val="00391281"/>
    <w:rsid w:val="003943B0"/>
    <w:rsid w:val="003A16B3"/>
    <w:rsid w:val="003A16D3"/>
    <w:rsid w:val="003A19A2"/>
    <w:rsid w:val="003A2049"/>
    <w:rsid w:val="003A311A"/>
    <w:rsid w:val="003A40F5"/>
    <w:rsid w:val="003A492D"/>
    <w:rsid w:val="003A6917"/>
    <w:rsid w:val="003A6972"/>
    <w:rsid w:val="003A7795"/>
    <w:rsid w:val="003B143F"/>
    <w:rsid w:val="003B1FD2"/>
    <w:rsid w:val="003B662B"/>
    <w:rsid w:val="003B73E2"/>
    <w:rsid w:val="003C0534"/>
    <w:rsid w:val="003C153E"/>
    <w:rsid w:val="003C1D57"/>
    <w:rsid w:val="003C1D73"/>
    <w:rsid w:val="003C1E6C"/>
    <w:rsid w:val="003C35B0"/>
    <w:rsid w:val="003C39CE"/>
    <w:rsid w:val="003C5B96"/>
    <w:rsid w:val="003C69E6"/>
    <w:rsid w:val="003D0E6C"/>
    <w:rsid w:val="003D1050"/>
    <w:rsid w:val="003D1140"/>
    <w:rsid w:val="003D165F"/>
    <w:rsid w:val="003D193A"/>
    <w:rsid w:val="003D1DCE"/>
    <w:rsid w:val="003D25CF"/>
    <w:rsid w:val="003D2C01"/>
    <w:rsid w:val="003D3CEA"/>
    <w:rsid w:val="003D3F36"/>
    <w:rsid w:val="003D4EE3"/>
    <w:rsid w:val="003D4EED"/>
    <w:rsid w:val="003D53CB"/>
    <w:rsid w:val="003D6BD4"/>
    <w:rsid w:val="003E04DB"/>
    <w:rsid w:val="003E2E36"/>
    <w:rsid w:val="003E5055"/>
    <w:rsid w:val="003E5A8B"/>
    <w:rsid w:val="003E6C24"/>
    <w:rsid w:val="003E721A"/>
    <w:rsid w:val="003F023F"/>
    <w:rsid w:val="003F09D8"/>
    <w:rsid w:val="003F2AC5"/>
    <w:rsid w:val="003F3939"/>
    <w:rsid w:val="003F4585"/>
    <w:rsid w:val="003F48E6"/>
    <w:rsid w:val="003F4ABA"/>
    <w:rsid w:val="003F6D1B"/>
    <w:rsid w:val="003F6E79"/>
    <w:rsid w:val="00401948"/>
    <w:rsid w:val="0040215F"/>
    <w:rsid w:val="0040363F"/>
    <w:rsid w:val="00403D9C"/>
    <w:rsid w:val="00405036"/>
    <w:rsid w:val="0040547C"/>
    <w:rsid w:val="00405CAB"/>
    <w:rsid w:val="0040623A"/>
    <w:rsid w:val="00411553"/>
    <w:rsid w:val="00411DE2"/>
    <w:rsid w:val="0041419C"/>
    <w:rsid w:val="00414705"/>
    <w:rsid w:val="00416180"/>
    <w:rsid w:val="004176FE"/>
    <w:rsid w:val="00417B4F"/>
    <w:rsid w:val="00417FEB"/>
    <w:rsid w:val="00421747"/>
    <w:rsid w:val="00423188"/>
    <w:rsid w:val="00423D1C"/>
    <w:rsid w:val="00425E3C"/>
    <w:rsid w:val="0043123F"/>
    <w:rsid w:val="00431B76"/>
    <w:rsid w:val="00432BD1"/>
    <w:rsid w:val="0043433F"/>
    <w:rsid w:val="0043568F"/>
    <w:rsid w:val="004365FB"/>
    <w:rsid w:val="00436E48"/>
    <w:rsid w:val="0044209B"/>
    <w:rsid w:val="0044419C"/>
    <w:rsid w:val="004441EA"/>
    <w:rsid w:val="004445FF"/>
    <w:rsid w:val="0044504F"/>
    <w:rsid w:val="00450AB6"/>
    <w:rsid w:val="00450C1D"/>
    <w:rsid w:val="00452F0D"/>
    <w:rsid w:val="0045463A"/>
    <w:rsid w:val="00454A8C"/>
    <w:rsid w:val="0045696E"/>
    <w:rsid w:val="00461256"/>
    <w:rsid w:val="0046267C"/>
    <w:rsid w:val="0046285D"/>
    <w:rsid w:val="004655EA"/>
    <w:rsid w:val="004662C1"/>
    <w:rsid w:val="00467EE3"/>
    <w:rsid w:val="00470A49"/>
    <w:rsid w:val="00471210"/>
    <w:rsid w:val="00471D5C"/>
    <w:rsid w:val="0047214A"/>
    <w:rsid w:val="00474847"/>
    <w:rsid w:val="004749DE"/>
    <w:rsid w:val="00475223"/>
    <w:rsid w:val="0047543E"/>
    <w:rsid w:val="004761E9"/>
    <w:rsid w:val="0047712F"/>
    <w:rsid w:val="00477160"/>
    <w:rsid w:val="004776BF"/>
    <w:rsid w:val="00477848"/>
    <w:rsid w:val="004813DF"/>
    <w:rsid w:val="004816CC"/>
    <w:rsid w:val="00481E05"/>
    <w:rsid w:val="00482406"/>
    <w:rsid w:val="00482C6E"/>
    <w:rsid w:val="00483255"/>
    <w:rsid w:val="004833F6"/>
    <w:rsid w:val="004870EF"/>
    <w:rsid w:val="004925E2"/>
    <w:rsid w:val="00492B44"/>
    <w:rsid w:val="00496CAB"/>
    <w:rsid w:val="004A2524"/>
    <w:rsid w:val="004A306C"/>
    <w:rsid w:val="004A4011"/>
    <w:rsid w:val="004A7362"/>
    <w:rsid w:val="004A7492"/>
    <w:rsid w:val="004B30B5"/>
    <w:rsid w:val="004B4112"/>
    <w:rsid w:val="004B609D"/>
    <w:rsid w:val="004B798A"/>
    <w:rsid w:val="004C1B73"/>
    <w:rsid w:val="004C3907"/>
    <w:rsid w:val="004C3A10"/>
    <w:rsid w:val="004D07F3"/>
    <w:rsid w:val="004D098C"/>
    <w:rsid w:val="004D0B96"/>
    <w:rsid w:val="004D45D2"/>
    <w:rsid w:val="004D500B"/>
    <w:rsid w:val="004D57B0"/>
    <w:rsid w:val="004D65D8"/>
    <w:rsid w:val="004D7341"/>
    <w:rsid w:val="004E1C9C"/>
    <w:rsid w:val="004E2201"/>
    <w:rsid w:val="004E2497"/>
    <w:rsid w:val="004E2E60"/>
    <w:rsid w:val="004E38B2"/>
    <w:rsid w:val="004E495D"/>
    <w:rsid w:val="004E583A"/>
    <w:rsid w:val="004E67A1"/>
    <w:rsid w:val="004F352F"/>
    <w:rsid w:val="004F36E5"/>
    <w:rsid w:val="004F3BBA"/>
    <w:rsid w:val="004F458C"/>
    <w:rsid w:val="004F56D5"/>
    <w:rsid w:val="004F7E6E"/>
    <w:rsid w:val="00502656"/>
    <w:rsid w:val="005031B9"/>
    <w:rsid w:val="00506AE6"/>
    <w:rsid w:val="00507AEF"/>
    <w:rsid w:val="005115B6"/>
    <w:rsid w:val="00512145"/>
    <w:rsid w:val="005132DC"/>
    <w:rsid w:val="005147A1"/>
    <w:rsid w:val="00514E15"/>
    <w:rsid w:val="005168EA"/>
    <w:rsid w:val="00517FDA"/>
    <w:rsid w:val="00522811"/>
    <w:rsid w:val="00523EB5"/>
    <w:rsid w:val="005245D5"/>
    <w:rsid w:val="005300AB"/>
    <w:rsid w:val="00531C37"/>
    <w:rsid w:val="0053330C"/>
    <w:rsid w:val="005335EA"/>
    <w:rsid w:val="0053462B"/>
    <w:rsid w:val="00534B8E"/>
    <w:rsid w:val="005367A0"/>
    <w:rsid w:val="00537012"/>
    <w:rsid w:val="00541AC9"/>
    <w:rsid w:val="00542C57"/>
    <w:rsid w:val="005448F6"/>
    <w:rsid w:val="00545105"/>
    <w:rsid w:val="00547F4E"/>
    <w:rsid w:val="005526D9"/>
    <w:rsid w:val="005535DC"/>
    <w:rsid w:val="005550BA"/>
    <w:rsid w:val="0055541B"/>
    <w:rsid w:val="005573F1"/>
    <w:rsid w:val="00560712"/>
    <w:rsid w:val="00560D13"/>
    <w:rsid w:val="00561958"/>
    <w:rsid w:val="005619FF"/>
    <w:rsid w:val="005647C6"/>
    <w:rsid w:val="00564F53"/>
    <w:rsid w:val="00565CB1"/>
    <w:rsid w:val="00565E95"/>
    <w:rsid w:val="0056612F"/>
    <w:rsid w:val="0056626B"/>
    <w:rsid w:val="00570CE2"/>
    <w:rsid w:val="00576C51"/>
    <w:rsid w:val="005802A0"/>
    <w:rsid w:val="005805C6"/>
    <w:rsid w:val="0058246D"/>
    <w:rsid w:val="005825E7"/>
    <w:rsid w:val="00584D69"/>
    <w:rsid w:val="005857CF"/>
    <w:rsid w:val="005864A9"/>
    <w:rsid w:val="0058651F"/>
    <w:rsid w:val="00590835"/>
    <w:rsid w:val="00590863"/>
    <w:rsid w:val="00590B21"/>
    <w:rsid w:val="005A0824"/>
    <w:rsid w:val="005A2C97"/>
    <w:rsid w:val="005A46BC"/>
    <w:rsid w:val="005A5C6C"/>
    <w:rsid w:val="005A6DAE"/>
    <w:rsid w:val="005A7003"/>
    <w:rsid w:val="005B133C"/>
    <w:rsid w:val="005B1913"/>
    <w:rsid w:val="005B211F"/>
    <w:rsid w:val="005B2218"/>
    <w:rsid w:val="005B282E"/>
    <w:rsid w:val="005B6415"/>
    <w:rsid w:val="005B6828"/>
    <w:rsid w:val="005B6A61"/>
    <w:rsid w:val="005C0CB4"/>
    <w:rsid w:val="005C38E8"/>
    <w:rsid w:val="005C6D3C"/>
    <w:rsid w:val="005C7198"/>
    <w:rsid w:val="005C720E"/>
    <w:rsid w:val="005D1460"/>
    <w:rsid w:val="005D2DB2"/>
    <w:rsid w:val="005D3718"/>
    <w:rsid w:val="005D526B"/>
    <w:rsid w:val="005D57F9"/>
    <w:rsid w:val="005D6C02"/>
    <w:rsid w:val="005E0623"/>
    <w:rsid w:val="005E0EB9"/>
    <w:rsid w:val="005E40E0"/>
    <w:rsid w:val="005E4974"/>
    <w:rsid w:val="005E4C5A"/>
    <w:rsid w:val="005E4D52"/>
    <w:rsid w:val="005E6008"/>
    <w:rsid w:val="005F0BDF"/>
    <w:rsid w:val="005F34D0"/>
    <w:rsid w:val="005F50E6"/>
    <w:rsid w:val="005F5260"/>
    <w:rsid w:val="005F56DD"/>
    <w:rsid w:val="005F580F"/>
    <w:rsid w:val="005F7031"/>
    <w:rsid w:val="00600F2C"/>
    <w:rsid w:val="00601585"/>
    <w:rsid w:val="00604538"/>
    <w:rsid w:val="006067FE"/>
    <w:rsid w:val="00606873"/>
    <w:rsid w:val="00606C7C"/>
    <w:rsid w:val="006071F2"/>
    <w:rsid w:val="00607332"/>
    <w:rsid w:val="00610B1B"/>
    <w:rsid w:val="006116BB"/>
    <w:rsid w:val="00611869"/>
    <w:rsid w:val="00611A96"/>
    <w:rsid w:val="00613757"/>
    <w:rsid w:val="006138A6"/>
    <w:rsid w:val="006169EC"/>
    <w:rsid w:val="00620823"/>
    <w:rsid w:val="0062443D"/>
    <w:rsid w:val="00624793"/>
    <w:rsid w:val="006250EC"/>
    <w:rsid w:val="006255DA"/>
    <w:rsid w:val="00625D7D"/>
    <w:rsid w:val="00626417"/>
    <w:rsid w:val="00630BC4"/>
    <w:rsid w:val="00631231"/>
    <w:rsid w:val="006333F0"/>
    <w:rsid w:val="00633A35"/>
    <w:rsid w:val="00636467"/>
    <w:rsid w:val="006367A7"/>
    <w:rsid w:val="00637FA1"/>
    <w:rsid w:val="006404C5"/>
    <w:rsid w:val="00644255"/>
    <w:rsid w:val="00646A15"/>
    <w:rsid w:val="00646E7E"/>
    <w:rsid w:val="00647544"/>
    <w:rsid w:val="00647A11"/>
    <w:rsid w:val="00653138"/>
    <w:rsid w:val="00653944"/>
    <w:rsid w:val="00653DA3"/>
    <w:rsid w:val="006548A7"/>
    <w:rsid w:val="006552CA"/>
    <w:rsid w:val="006558DE"/>
    <w:rsid w:val="00656B6A"/>
    <w:rsid w:val="006612B2"/>
    <w:rsid w:val="00662763"/>
    <w:rsid w:val="00665717"/>
    <w:rsid w:val="00673F5E"/>
    <w:rsid w:val="00674FA5"/>
    <w:rsid w:val="006777FB"/>
    <w:rsid w:val="00677EAA"/>
    <w:rsid w:val="0068004A"/>
    <w:rsid w:val="00681F54"/>
    <w:rsid w:val="006849B7"/>
    <w:rsid w:val="00685A0D"/>
    <w:rsid w:val="006872AD"/>
    <w:rsid w:val="00687726"/>
    <w:rsid w:val="006904BA"/>
    <w:rsid w:val="0069190F"/>
    <w:rsid w:val="00693126"/>
    <w:rsid w:val="006953ED"/>
    <w:rsid w:val="00695DAF"/>
    <w:rsid w:val="00696BB3"/>
    <w:rsid w:val="006A027B"/>
    <w:rsid w:val="006A0B8F"/>
    <w:rsid w:val="006A2390"/>
    <w:rsid w:val="006A2939"/>
    <w:rsid w:val="006A43A0"/>
    <w:rsid w:val="006A52BB"/>
    <w:rsid w:val="006A5C86"/>
    <w:rsid w:val="006B01BC"/>
    <w:rsid w:val="006B0E7A"/>
    <w:rsid w:val="006B13DC"/>
    <w:rsid w:val="006B2F2C"/>
    <w:rsid w:val="006B5665"/>
    <w:rsid w:val="006C04BC"/>
    <w:rsid w:val="006C3BFB"/>
    <w:rsid w:val="006C4275"/>
    <w:rsid w:val="006C5DA2"/>
    <w:rsid w:val="006C6FF2"/>
    <w:rsid w:val="006C72F4"/>
    <w:rsid w:val="006C78E5"/>
    <w:rsid w:val="006C7916"/>
    <w:rsid w:val="006C7EFB"/>
    <w:rsid w:val="006D0E71"/>
    <w:rsid w:val="006D5A08"/>
    <w:rsid w:val="006D6059"/>
    <w:rsid w:val="006D74D9"/>
    <w:rsid w:val="006E0DAD"/>
    <w:rsid w:val="006E2127"/>
    <w:rsid w:val="006E38B8"/>
    <w:rsid w:val="006E52D6"/>
    <w:rsid w:val="006E72C5"/>
    <w:rsid w:val="006F125B"/>
    <w:rsid w:val="006F28FA"/>
    <w:rsid w:val="006F3CA3"/>
    <w:rsid w:val="006F7048"/>
    <w:rsid w:val="006F7DFA"/>
    <w:rsid w:val="006F7E14"/>
    <w:rsid w:val="007010E2"/>
    <w:rsid w:val="007049E0"/>
    <w:rsid w:val="00705464"/>
    <w:rsid w:val="0070696D"/>
    <w:rsid w:val="0070763C"/>
    <w:rsid w:val="00707B10"/>
    <w:rsid w:val="00710533"/>
    <w:rsid w:val="00710950"/>
    <w:rsid w:val="007113EB"/>
    <w:rsid w:val="00712DC8"/>
    <w:rsid w:val="00714679"/>
    <w:rsid w:val="00714E3E"/>
    <w:rsid w:val="00715A0B"/>
    <w:rsid w:val="00717AAA"/>
    <w:rsid w:val="007213B8"/>
    <w:rsid w:val="00721A39"/>
    <w:rsid w:val="00721E46"/>
    <w:rsid w:val="007224B3"/>
    <w:rsid w:val="007224C7"/>
    <w:rsid w:val="00724DAA"/>
    <w:rsid w:val="007257CA"/>
    <w:rsid w:val="00726D0A"/>
    <w:rsid w:val="00727382"/>
    <w:rsid w:val="00730511"/>
    <w:rsid w:val="00733F75"/>
    <w:rsid w:val="00734E25"/>
    <w:rsid w:val="007350B8"/>
    <w:rsid w:val="00735214"/>
    <w:rsid w:val="00737038"/>
    <w:rsid w:val="0073771E"/>
    <w:rsid w:val="007402A2"/>
    <w:rsid w:val="0074095D"/>
    <w:rsid w:val="00742C74"/>
    <w:rsid w:val="007430A9"/>
    <w:rsid w:val="0074359D"/>
    <w:rsid w:val="00744617"/>
    <w:rsid w:val="0075003E"/>
    <w:rsid w:val="007505B1"/>
    <w:rsid w:val="007515B6"/>
    <w:rsid w:val="00751B6F"/>
    <w:rsid w:val="00753487"/>
    <w:rsid w:val="00756765"/>
    <w:rsid w:val="00757FD1"/>
    <w:rsid w:val="00761A52"/>
    <w:rsid w:val="00762F24"/>
    <w:rsid w:val="0076484F"/>
    <w:rsid w:val="00766C2D"/>
    <w:rsid w:val="0077037F"/>
    <w:rsid w:val="00771E57"/>
    <w:rsid w:val="00773666"/>
    <w:rsid w:val="007739D4"/>
    <w:rsid w:val="0077665D"/>
    <w:rsid w:val="007768F8"/>
    <w:rsid w:val="00776F8F"/>
    <w:rsid w:val="007817E8"/>
    <w:rsid w:val="00782F2F"/>
    <w:rsid w:val="007901CB"/>
    <w:rsid w:val="00790934"/>
    <w:rsid w:val="007911B1"/>
    <w:rsid w:val="007926D8"/>
    <w:rsid w:val="00792FA5"/>
    <w:rsid w:val="007942D8"/>
    <w:rsid w:val="00794544"/>
    <w:rsid w:val="00794CAF"/>
    <w:rsid w:val="00794D96"/>
    <w:rsid w:val="00794F5D"/>
    <w:rsid w:val="007A026D"/>
    <w:rsid w:val="007A0E45"/>
    <w:rsid w:val="007A100A"/>
    <w:rsid w:val="007A2E20"/>
    <w:rsid w:val="007A5C5D"/>
    <w:rsid w:val="007A6372"/>
    <w:rsid w:val="007B0EF3"/>
    <w:rsid w:val="007B48E6"/>
    <w:rsid w:val="007B4E4A"/>
    <w:rsid w:val="007B51B3"/>
    <w:rsid w:val="007B6847"/>
    <w:rsid w:val="007B7804"/>
    <w:rsid w:val="007C1649"/>
    <w:rsid w:val="007C2D4E"/>
    <w:rsid w:val="007C31CC"/>
    <w:rsid w:val="007C37D5"/>
    <w:rsid w:val="007C49FB"/>
    <w:rsid w:val="007C4F19"/>
    <w:rsid w:val="007C5F8A"/>
    <w:rsid w:val="007C6B36"/>
    <w:rsid w:val="007D053A"/>
    <w:rsid w:val="007D1234"/>
    <w:rsid w:val="007D15E2"/>
    <w:rsid w:val="007D16CC"/>
    <w:rsid w:val="007D30FA"/>
    <w:rsid w:val="007D35B8"/>
    <w:rsid w:val="007D3E2C"/>
    <w:rsid w:val="007D5064"/>
    <w:rsid w:val="007D624C"/>
    <w:rsid w:val="007E03E2"/>
    <w:rsid w:val="007E4CCD"/>
    <w:rsid w:val="007E64C6"/>
    <w:rsid w:val="007E68BF"/>
    <w:rsid w:val="007E696E"/>
    <w:rsid w:val="007E7D82"/>
    <w:rsid w:val="007F06C9"/>
    <w:rsid w:val="007F0C3F"/>
    <w:rsid w:val="007F0D91"/>
    <w:rsid w:val="007F46AC"/>
    <w:rsid w:val="007F4EDB"/>
    <w:rsid w:val="007F6A4A"/>
    <w:rsid w:val="007F6E3B"/>
    <w:rsid w:val="007F7368"/>
    <w:rsid w:val="008038A6"/>
    <w:rsid w:val="00803EA2"/>
    <w:rsid w:val="008046B9"/>
    <w:rsid w:val="008125C0"/>
    <w:rsid w:val="008127E2"/>
    <w:rsid w:val="00812F85"/>
    <w:rsid w:val="008131E6"/>
    <w:rsid w:val="0081353D"/>
    <w:rsid w:val="00813D45"/>
    <w:rsid w:val="00813DBF"/>
    <w:rsid w:val="008161ED"/>
    <w:rsid w:val="00821866"/>
    <w:rsid w:val="00821CC8"/>
    <w:rsid w:val="00821D81"/>
    <w:rsid w:val="00825915"/>
    <w:rsid w:val="00825EC4"/>
    <w:rsid w:val="00825F6D"/>
    <w:rsid w:val="008262D7"/>
    <w:rsid w:val="008325B5"/>
    <w:rsid w:val="008338FD"/>
    <w:rsid w:val="00837882"/>
    <w:rsid w:val="00840279"/>
    <w:rsid w:val="008411CD"/>
    <w:rsid w:val="0084125E"/>
    <w:rsid w:val="0084270B"/>
    <w:rsid w:val="00843493"/>
    <w:rsid w:val="0084379E"/>
    <w:rsid w:val="0084404E"/>
    <w:rsid w:val="0084777B"/>
    <w:rsid w:val="00847D8A"/>
    <w:rsid w:val="008518BF"/>
    <w:rsid w:val="00852DF9"/>
    <w:rsid w:val="00853928"/>
    <w:rsid w:val="00855A69"/>
    <w:rsid w:val="00857C09"/>
    <w:rsid w:val="00857DCB"/>
    <w:rsid w:val="008602BF"/>
    <w:rsid w:val="008610E3"/>
    <w:rsid w:val="00861F68"/>
    <w:rsid w:val="008627B8"/>
    <w:rsid w:val="00862BE6"/>
    <w:rsid w:val="008635AA"/>
    <w:rsid w:val="008636A4"/>
    <w:rsid w:val="008655C7"/>
    <w:rsid w:val="008657AA"/>
    <w:rsid w:val="00865A7A"/>
    <w:rsid w:val="00867395"/>
    <w:rsid w:val="008708E9"/>
    <w:rsid w:val="00871422"/>
    <w:rsid w:val="0087182D"/>
    <w:rsid w:val="00873629"/>
    <w:rsid w:val="008752CC"/>
    <w:rsid w:val="008772DB"/>
    <w:rsid w:val="008829EB"/>
    <w:rsid w:val="0088517E"/>
    <w:rsid w:val="00886D0D"/>
    <w:rsid w:val="00887B09"/>
    <w:rsid w:val="00891782"/>
    <w:rsid w:val="00896D46"/>
    <w:rsid w:val="008A16F8"/>
    <w:rsid w:val="008A230F"/>
    <w:rsid w:val="008A3528"/>
    <w:rsid w:val="008A3CCE"/>
    <w:rsid w:val="008A4F2B"/>
    <w:rsid w:val="008A512C"/>
    <w:rsid w:val="008A6073"/>
    <w:rsid w:val="008A6D97"/>
    <w:rsid w:val="008B3934"/>
    <w:rsid w:val="008B529E"/>
    <w:rsid w:val="008B58AD"/>
    <w:rsid w:val="008B6BF3"/>
    <w:rsid w:val="008C2859"/>
    <w:rsid w:val="008C6AA8"/>
    <w:rsid w:val="008C6AF8"/>
    <w:rsid w:val="008D21E3"/>
    <w:rsid w:val="008D53E2"/>
    <w:rsid w:val="008E1162"/>
    <w:rsid w:val="008E1449"/>
    <w:rsid w:val="008E2F15"/>
    <w:rsid w:val="008E34E3"/>
    <w:rsid w:val="008E42F6"/>
    <w:rsid w:val="008E4A44"/>
    <w:rsid w:val="008E52AD"/>
    <w:rsid w:val="008E564E"/>
    <w:rsid w:val="008F0537"/>
    <w:rsid w:val="008F08AE"/>
    <w:rsid w:val="008F235B"/>
    <w:rsid w:val="008F3B13"/>
    <w:rsid w:val="008F42A2"/>
    <w:rsid w:val="008F4DCD"/>
    <w:rsid w:val="008F4E2F"/>
    <w:rsid w:val="008F582B"/>
    <w:rsid w:val="008F5D39"/>
    <w:rsid w:val="008F7096"/>
    <w:rsid w:val="008F7729"/>
    <w:rsid w:val="008F7F50"/>
    <w:rsid w:val="00901C5B"/>
    <w:rsid w:val="00902E6C"/>
    <w:rsid w:val="009039D4"/>
    <w:rsid w:val="00906076"/>
    <w:rsid w:val="00907379"/>
    <w:rsid w:val="00910972"/>
    <w:rsid w:val="00910BE3"/>
    <w:rsid w:val="00910E73"/>
    <w:rsid w:val="00911F21"/>
    <w:rsid w:val="00912844"/>
    <w:rsid w:val="00912CC3"/>
    <w:rsid w:val="00913E07"/>
    <w:rsid w:val="009158D2"/>
    <w:rsid w:val="00924247"/>
    <w:rsid w:val="00924F9F"/>
    <w:rsid w:val="009254A4"/>
    <w:rsid w:val="00931953"/>
    <w:rsid w:val="00931E25"/>
    <w:rsid w:val="009325EC"/>
    <w:rsid w:val="00932F4B"/>
    <w:rsid w:val="009353C0"/>
    <w:rsid w:val="00935532"/>
    <w:rsid w:val="009361CE"/>
    <w:rsid w:val="00940FE0"/>
    <w:rsid w:val="00944F9B"/>
    <w:rsid w:val="00951847"/>
    <w:rsid w:val="009522C9"/>
    <w:rsid w:val="00953186"/>
    <w:rsid w:val="00956BBB"/>
    <w:rsid w:val="00960C53"/>
    <w:rsid w:val="00960E3D"/>
    <w:rsid w:val="009615D2"/>
    <w:rsid w:val="00962D21"/>
    <w:rsid w:val="009631E9"/>
    <w:rsid w:val="00966B50"/>
    <w:rsid w:val="0097028D"/>
    <w:rsid w:val="00970635"/>
    <w:rsid w:val="009747BC"/>
    <w:rsid w:val="00974B59"/>
    <w:rsid w:val="00974FB1"/>
    <w:rsid w:val="00975552"/>
    <w:rsid w:val="00977824"/>
    <w:rsid w:val="0098010D"/>
    <w:rsid w:val="00980AF5"/>
    <w:rsid w:val="0098337B"/>
    <w:rsid w:val="009839F5"/>
    <w:rsid w:val="009848D1"/>
    <w:rsid w:val="009860A2"/>
    <w:rsid w:val="0098689A"/>
    <w:rsid w:val="009874DA"/>
    <w:rsid w:val="00987574"/>
    <w:rsid w:val="00987EBA"/>
    <w:rsid w:val="00990095"/>
    <w:rsid w:val="00990473"/>
    <w:rsid w:val="00992FFF"/>
    <w:rsid w:val="009932FA"/>
    <w:rsid w:val="0099541E"/>
    <w:rsid w:val="00996C65"/>
    <w:rsid w:val="00996E3E"/>
    <w:rsid w:val="00996FA4"/>
    <w:rsid w:val="009A05ED"/>
    <w:rsid w:val="009A13D8"/>
    <w:rsid w:val="009A4610"/>
    <w:rsid w:val="009A580F"/>
    <w:rsid w:val="009A67AF"/>
    <w:rsid w:val="009A685A"/>
    <w:rsid w:val="009A6EB2"/>
    <w:rsid w:val="009B3369"/>
    <w:rsid w:val="009B3377"/>
    <w:rsid w:val="009B54EE"/>
    <w:rsid w:val="009B5782"/>
    <w:rsid w:val="009C22D7"/>
    <w:rsid w:val="009C2C84"/>
    <w:rsid w:val="009C4796"/>
    <w:rsid w:val="009C6BDD"/>
    <w:rsid w:val="009D20B7"/>
    <w:rsid w:val="009D2299"/>
    <w:rsid w:val="009D4BF7"/>
    <w:rsid w:val="009D5557"/>
    <w:rsid w:val="009D723A"/>
    <w:rsid w:val="009D7CA8"/>
    <w:rsid w:val="009E1D10"/>
    <w:rsid w:val="009E29A2"/>
    <w:rsid w:val="009E3290"/>
    <w:rsid w:val="009E374C"/>
    <w:rsid w:val="009E4DA2"/>
    <w:rsid w:val="009E4FB4"/>
    <w:rsid w:val="009E60DB"/>
    <w:rsid w:val="009E6358"/>
    <w:rsid w:val="009E6D29"/>
    <w:rsid w:val="009F08DB"/>
    <w:rsid w:val="009F456B"/>
    <w:rsid w:val="009F5A75"/>
    <w:rsid w:val="009F61F6"/>
    <w:rsid w:val="009F75B3"/>
    <w:rsid w:val="00A01D4B"/>
    <w:rsid w:val="00A032A1"/>
    <w:rsid w:val="00A03BBA"/>
    <w:rsid w:val="00A07992"/>
    <w:rsid w:val="00A10C52"/>
    <w:rsid w:val="00A12AA3"/>
    <w:rsid w:val="00A137F4"/>
    <w:rsid w:val="00A14373"/>
    <w:rsid w:val="00A17311"/>
    <w:rsid w:val="00A254EB"/>
    <w:rsid w:val="00A25C8C"/>
    <w:rsid w:val="00A267BE"/>
    <w:rsid w:val="00A26B48"/>
    <w:rsid w:val="00A31208"/>
    <w:rsid w:val="00A31306"/>
    <w:rsid w:val="00A321B7"/>
    <w:rsid w:val="00A33357"/>
    <w:rsid w:val="00A33D09"/>
    <w:rsid w:val="00A358F8"/>
    <w:rsid w:val="00A36885"/>
    <w:rsid w:val="00A377BE"/>
    <w:rsid w:val="00A37D54"/>
    <w:rsid w:val="00A4091A"/>
    <w:rsid w:val="00A449AA"/>
    <w:rsid w:val="00A44F18"/>
    <w:rsid w:val="00A477E8"/>
    <w:rsid w:val="00A50503"/>
    <w:rsid w:val="00A52DFC"/>
    <w:rsid w:val="00A538EA"/>
    <w:rsid w:val="00A5747D"/>
    <w:rsid w:val="00A63496"/>
    <w:rsid w:val="00A63673"/>
    <w:rsid w:val="00A660B6"/>
    <w:rsid w:val="00A66F62"/>
    <w:rsid w:val="00A67005"/>
    <w:rsid w:val="00A71727"/>
    <w:rsid w:val="00A720A0"/>
    <w:rsid w:val="00A72AA6"/>
    <w:rsid w:val="00A73B32"/>
    <w:rsid w:val="00A7444A"/>
    <w:rsid w:val="00A76A34"/>
    <w:rsid w:val="00A77B17"/>
    <w:rsid w:val="00A800D8"/>
    <w:rsid w:val="00A813CB"/>
    <w:rsid w:val="00A816B1"/>
    <w:rsid w:val="00A845BD"/>
    <w:rsid w:val="00A90B4C"/>
    <w:rsid w:val="00A9169A"/>
    <w:rsid w:val="00A928C5"/>
    <w:rsid w:val="00A94725"/>
    <w:rsid w:val="00A959A6"/>
    <w:rsid w:val="00A95D51"/>
    <w:rsid w:val="00A96B2B"/>
    <w:rsid w:val="00A96CAA"/>
    <w:rsid w:val="00A974E4"/>
    <w:rsid w:val="00AA0E73"/>
    <w:rsid w:val="00AA1EAC"/>
    <w:rsid w:val="00AA1EC0"/>
    <w:rsid w:val="00AA24B5"/>
    <w:rsid w:val="00AA34BA"/>
    <w:rsid w:val="00AA4434"/>
    <w:rsid w:val="00AA6E1A"/>
    <w:rsid w:val="00AA700E"/>
    <w:rsid w:val="00AA7033"/>
    <w:rsid w:val="00AB1D4E"/>
    <w:rsid w:val="00AB40FD"/>
    <w:rsid w:val="00AB4E09"/>
    <w:rsid w:val="00AB51E9"/>
    <w:rsid w:val="00AB6D80"/>
    <w:rsid w:val="00AB7837"/>
    <w:rsid w:val="00AC055A"/>
    <w:rsid w:val="00AC1153"/>
    <w:rsid w:val="00AC47B6"/>
    <w:rsid w:val="00AC68D0"/>
    <w:rsid w:val="00AC7C25"/>
    <w:rsid w:val="00AD14EE"/>
    <w:rsid w:val="00AD1BB3"/>
    <w:rsid w:val="00AD4051"/>
    <w:rsid w:val="00AD6364"/>
    <w:rsid w:val="00AE0E1D"/>
    <w:rsid w:val="00AE1245"/>
    <w:rsid w:val="00AE1B9A"/>
    <w:rsid w:val="00AE2258"/>
    <w:rsid w:val="00AE3448"/>
    <w:rsid w:val="00AE5A90"/>
    <w:rsid w:val="00AF0DA5"/>
    <w:rsid w:val="00AF24D3"/>
    <w:rsid w:val="00AF2DA1"/>
    <w:rsid w:val="00AF3381"/>
    <w:rsid w:val="00AF5C2A"/>
    <w:rsid w:val="00AF6AB2"/>
    <w:rsid w:val="00AF6F0B"/>
    <w:rsid w:val="00B01E17"/>
    <w:rsid w:val="00B01F32"/>
    <w:rsid w:val="00B04EF1"/>
    <w:rsid w:val="00B0591C"/>
    <w:rsid w:val="00B06371"/>
    <w:rsid w:val="00B07B77"/>
    <w:rsid w:val="00B102E0"/>
    <w:rsid w:val="00B113DE"/>
    <w:rsid w:val="00B11DE7"/>
    <w:rsid w:val="00B11F10"/>
    <w:rsid w:val="00B1514A"/>
    <w:rsid w:val="00B1559C"/>
    <w:rsid w:val="00B1694A"/>
    <w:rsid w:val="00B16DDD"/>
    <w:rsid w:val="00B2013B"/>
    <w:rsid w:val="00B20ED4"/>
    <w:rsid w:val="00B20EF1"/>
    <w:rsid w:val="00B21301"/>
    <w:rsid w:val="00B23815"/>
    <w:rsid w:val="00B247A7"/>
    <w:rsid w:val="00B24F98"/>
    <w:rsid w:val="00B25A07"/>
    <w:rsid w:val="00B308DF"/>
    <w:rsid w:val="00B32E2B"/>
    <w:rsid w:val="00B33E9E"/>
    <w:rsid w:val="00B3489C"/>
    <w:rsid w:val="00B36976"/>
    <w:rsid w:val="00B4123E"/>
    <w:rsid w:val="00B41BF6"/>
    <w:rsid w:val="00B41BFF"/>
    <w:rsid w:val="00B453CE"/>
    <w:rsid w:val="00B46352"/>
    <w:rsid w:val="00B50C06"/>
    <w:rsid w:val="00B5179D"/>
    <w:rsid w:val="00B537A5"/>
    <w:rsid w:val="00B5546F"/>
    <w:rsid w:val="00B554D4"/>
    <w:rsid w:val="00B60CF3"/>
    <w:rsid w:val="00B63D2A"/>
    <w:rsid w:val="00B65B11"/>
    <w:rsid w:val="00B66E32"/>
    <w:rsid w:val="00B70642"/>
    <w:rsid w:val="00B70682"/>
    <w:rsid w:val="00B7089B"/>
    <w:rsid w:val="00B73B04"/>
    <w:rsid w:val="00B7478D"/>
    <w:rsid w:val="00B75329"/>
    <w:rsid w:val="00B753D3"/>
    <w:rsid w:val="00B754F0"/>
    <w:rsid w:val="00B764C6"/>
    <w:rsid w:val="00B77255"/>
    <w:rsid w:val="00B7732B"/>
    <w:rsid w:val="00B77786"/>
    <w:rsid w:val="00B8076D"/>
    <w:rsid w:val="00B829F7"/>
    <w:rsid w:val="00B87C1B"/>
    <w:rsid w:val="00B950DB"/>
    <w:rsid w:val="00B970DD"/>
    <w:rsid w:val="00B9775A"/>
    <w:rsid w:val="00B97BF9"/>
    <w:rsid w:val="00BA0925"/>
    <w:rsid w:val="00BA1A39"/>
    <w:rsid w:val="00BA2094"/>
    <w:rsid w:val="00BA5106"/>
    <w:rsid w:val="00BA5362"/>
    <w:rsid w:val="00BA559B"/>
    <w:rsid w:val="00BA6E48"/>
    <w:rsid w:val="00BB01CB"/>
    <w:rsid w:val="00BB1E2B"/>
    <w:rsid w:val="00BB27CA"/>
    <w:rsid w:val="00BB2871"/>
    <w:rsid w:val="00BB3BFE"/>
    <w:rsid w:val="00BB4785"/>
    <w:rsid w:val="00BB503B"/>
    <w:rsid w:val="00BB50C0"/>
    <w:rsid w:val="00BB6165"/>
    <w:rsid w:val="00BB6692"/>
    <w:rsid w:val="00BB6737"/>
    <w:rsid w:val="00BB68F4"/>
    <w:rsid w:val="00BB6CA1"/>
    <w:rsid w:val="00BB7155"/>
    <w:rsid w:val="00BC12DD"/>
    <w:rsid w:val="00BC16A5"/>
    <w:rsid w:val="00BC2EBC"/>
    <w:rsid w:val="00BC2F32"/>
    <w:rsid w:val="00BC3536"/>
    <w:rsid w:val="00BC4EAF"/>
    <w:rsid w:val="00BC5164"/>
    <w:rsid w:val="00BD3C43"/>
    <w:rsid w:val="00BD3FF0"/>
    <w:rsid w:val="00BD4368"/>
    <w:rsid w:val="00BD55B9"/>
    <w:rsid w:val="00BD5D3C"/>
    <w:rsid w:val="00BD6FAB"/>
    <w:rsid w:val="00BE338A"/>
    <w:rsid w:val="00BE363B"/>
    <w:rsid w:val="00BE394B"/>
    <w:rsid w:val="00BE7080"/>
    <w:rsid w:val="00BE7F66"/>
    <w:rsid w:val="00BF09C5"/>
    <w:rsid w:val="00BF12B7"/>
    <w:rsid w:val="00BF1880"/>
    <w:rsid w:val="00BF270A"/>
    <w:rsid w:val="00BF2ED4"/>
    <w:rsid w:val="00BF36EA"/>
    <w:rsid w:val="00BF5104"/>
    <w:rsid w:val="00BF71AA"/>
    <w:rsid w:val="00C001B6"/>
    <w:rsid w:val="00C01E9A"/>
    <w:rsid w:val="00C022EA"/>
    <w:rsid w:val="00C06023"/>
    <w:rsid w:val="00C1051A"/>
    <w:rsid w:val="00C11C1B"/>
    <w:rsid w:val="00C123CA"/>
    <w:rsid w:val="00C1367F"/>
    <w:rsid w:val="00C13989"/>
    <w:rsid w:val="00C14212"/>
    <w:rsid w:val="00C15AED"/>
    <w:rsid w:val="00C16E8D"/>
    <w:rsid w:val="00C20A73"/>
    <w:rsid w:val="00C20C46"/>
    <w:rsid w:val="00C22DDE"/>
    <w:rsid w:val="00C243EE"/>
    <w:rsid w:val="00C24E90"/>
    <w:rsid w:val="00C2566D"/>
    <w:rsid w:val="00C25C05"/>
    <w:rsid w:val="00C25FDA"/>
    <w:rsid w:val="00C2647A"/>
    <w:rsid w:val="00C30096"/>
    <w:rsid w:val="00C354A0"/>
    <w:rsid w:val="00C3599C"/>
    <w:rsid w:val="00C36EE7"/>
    <w:rsid w:val="00C372F5"/>
    <w:rsid w:val="00C40A29"/>
    <w:rsid w:val="00C41B86"/>
    <w:rsid w:val="00C41DC8"/>
    <w:rsid w:val="00C42673"/>
    <w:rsid w:val="00C42AEB"/>
    <w:rsid w:val="00C506C3"/>
    <w:rsid w:val="00C52801"/>
    <w:rsid w:val="00C61618"/>
    <w:rsid w:val="00C623FC"/>
    <w:rsid w:val="00C633A6"/>
    <w:rsid w:val="00C639A9"/>
    <w:rsid w:val="00C65D55"/>
    <w:rsid w:val="00C67FC5"/>
    <w:rsid w:val="00C708D8"/>
    <w:rsid w:val="00C70C37"/>
    <w:rsid w:val="00C70EDA"/>
    <w:rsid w:val="00C73AEF"/>
    <w:rsid w:val="00C75212"/>
    <w:rsid w:val="00C7528E"/>
    <w:rsid w:val="00C77821"/>
    <w:rsid w:val="00C86994"/>
    <w:rsid w:val="00C87930"/>
    <w:rsid w:val="00C91CB0"/>
    <w:rsid w:val="00C92AFC"/>
    <w:rsid w:val="00C95AF7"/>
    <w:rsid w:val="00C9742F"/>
    <w:rsid w:val="00C97CDA"/>
    <w:rsid w:val="00CA1B14"/>
    <w:rsid w:val="00CA2769"/>
    <w:rsid w:val="00CA3EFE"/>
    <w:rsid w:val="00CA3F9C"/>
    <w:rsid w:val="00CA6F35"/>
    <w:rsid w:val="00CA7056"/>
    <w:rsid w:val="00CA78BE"/>
    <w:rsid w:val="00CB0071"/>
    <w:rsid w:val="00CB0259"/>
    <w:rsid w:val="00CB0E6F"/>
    <w:rsid w:val="00CB1528"/>
    <w:rsid w:val="00CB163D"/>
    <w:rsid w:val="00CB2656"/>
    <w:rsid w:val="00CB3F36"/>
    <w:rsid w:val="00CB44FD"/>
    <w:rsid w:val="00CB4605"/>
    <w:rsid w:val="00CB5EA8"/>
    <w:rsid w:val="00CB6238"/>
    <w:rsid w:val="00CB7139"/>
    <w:rsid w:val="00CB72D9"/>
    <w:rsid w:val="00CB789D"/>
    <w:rsid w:val="00CC12FE"/>
    <w:rsid w:val="00CC2BA1"/>
    <w:rsid w:val="00CC69A7"/>
    <w:rsid w:val="00CC7378"/>
    <w:rsid w:val="00CC7EAE"/>
    <w:rsid w:val="00CD3FE0"/>
    <w:rsid w:val="00CD490D"/>
    <w:rsid w:val="00CD4A5E"/>
    <w:rsid w:val="00CD5B65"/>
    <w:rsid w:val="00CD6FAA"/>
    <w:rsid w:val="00CD78A9"/>
    <w:rsid w:val="00CE0584"/>
    <w:rsid w:val="00CE346C"/>
    <w:rsid w:val="00CE6925"/>
    <w:rsid w:val="00CE6E7B"/>
    <w:rsid w:val="00CF1365"/>
    <w:rsid w:val="00CF272F"/>
    <w:rsid w:val="00CF3D2C"/>
    <w:rsid w:val="00CF5C9F"/>
    <w:rsid w:val="00CF5EAF"/>
    <w:rsid w:val="00D01F80"/>
    <w:rsid w:val="00D021AC"/>
    <w:rsid w:val="00D03A5D"/>
    <w:rsid w:val="00D05509"/>
    <w:rsid w:val="00D0628E"/>
    <w:rsid w:val="00D06701"/>
    <w:rsid w:val="00D0797D"/>
    <w:rsid w:val="00D10ABC"/>
    <w:rsid w:val="00D11B08"/>
    <w:rsid w:val="00D14D82"/>
    <w:rsid w:val="00D20A18"/>
    <w:rsid w:val="00D23BCB"/>
    <w:rsid w:val="00D269CE"/>
    <w:rsid w:val="00D274AF"/>
    <w:rsid w:val="00D328E2"/>
    <w:rsid w:val="00D332AF"/>
    <w:rsid w:val="00D334A2"/>
    <w:rsid w:val="00D33E4E"/>
    <w:rsid w:val="00D3536A"/>
    <w:rsid w:val="00D377EA"/>
    <w:rsid w:val="00D41669"/>
    <w:rsid w:val="00D42744"/>
    <w:rsid w:val="00D441EC"/>
    <w:rsid w:val="00D4600E"/>
    <w:rsid w:val="00D4615C"/>
    <w:rsid w:val="00D466DA"/>
    <w:rsid w:val="00D468C5"/>
    <w:rsid w:val="00D516DF"/>
    <w:rsid w:val="00D54EB6"/>
    <w:rsid w:val="00D558DF"/>
    <w:rsid w:val="00D55B70"/>
    <w:rsid w:val="00D57471"/>
    <w:rsid w:val="00D60558"/>
    <w:rsid w:val="00D63FC5"/>
    <w:rsid w:val="00D67CB9"/>
    <w:rsid w:val="00D7138C"/>
    <w:rsid w:val="00D71623"/>
    <w:rsid w:val="00D72841"/>
    <w:rsid w:val="00D734FC"/>
    <w:rsid w:val="00D75BF6"/>
    <w:rsid w:val="00D80268"/>
    <w:rsid w:val="00D8186C"/>
    <w:rsid w:val="00D845BC"/>
    <w:rsid w:val="00D850EC"/>
    <w:rsid w:val="00D86578"/>
    <w:rsid w:val="00D8690E"/>
    <w:rsid w:val="00D90ADB"/>
    <w:rsid w:val="00D90E88"/>
    <w:rsid w:val="00D91002"/>
    <w:rsid w:val="00D92078"/>
    <w:rsid w:val="00D9430D"/>
    <w:rsid w:val="00D94ED8"/>
    <w:rsid w:val="00D9739D"/>
    <w:rsid w:val="00DA0417"/>
    <w:rsid w:val="00DA2C6D"/>
    <w:rsid w:val="00DA2D2F"/>
    <w:rsid w:val="00DA34F0"/>
    <w:rsid w:val="00DA529E"/>
    <w:rsid w:val="00DA5581"/>
    <w:rsid w:val="00DA70DD"/>
    <w:rsid w:val="00DA77B8"/>
    <w:rsid w:val="00DA7B1A"/>
    <w:rsid w:val="00DB0692"/>
    <w:rsid w:val="00DB16E4"/>
    <w:rsid w:val="00DB2265"/>
    <w:rsid w:val="00DB2D60"/>
    <w:rsid w:val="00DB3CD4"/>
    <w:rsid w:val="00DB4D81"/>
    <w:rsid w:val="00DB76DF"/>
    <w:rsid w:val="00DC1AE8"/>
    <w:rsid w:val="00DC36DF"/>
    <w:rsid w:val="00DC3F4B"/>
    <w:rsid w:val="00DC4092"/>
    <w:rsid w:val="00DC5456"/>
    <w:rsid w:val="00DC6C03"/>
    <w:rsid w:val="00DD0E00"/>
    <w:rsid w:val="00DD17AE"/>
    <w:rsid w:val="00DD4EDD"/>
    <w:rsid w:val="00DD6C5F"/>
    <w:rsid w:val="00DE0CCD"/>
    <w:rsid w:val="00DE142A"/>
    <w:rsid w:val="00DE511D"/>
    <w:rsid w:val="00DE56E1"/>
    <w:rsid w:val="00DE7200"/>
    <w:rsid w:val="00DE755E"/>
    <w:rsid w:val="00DF0AD4"/>
    <w:rsid w:val="00DF139E"/>
    <w:rsid w:val="00DF2013"/>
    <w:rsid w:val="00DF21A2"/>
    <w:rsid w:val="00DF2FA4"/>
    <w:rsid w:val="00DF39D9"/>
    <w:rsid w:val="00DF3E24"/>
    <w:rsid w:val="00DF4C1E"/>
    <w:rsid w:val="00DF655F"/>
    <w:rsid w:val="00DF7F03"/>
    <w:rsid w:val="00E01FB7"/>
    <w:rsid w:val="00E03290"/>
    <w:rsid w:val="00E041EF"/>
    <w:rsid w:val="00E04F37"/>
    <w:rsid w:val="00E05350"/>
    <w:rsid w:val="00E056B7"/>
    <w:rsid w:val="00E06D57"/>
    <w:rsid w:val="00E1253A"/>
    <w:rsid w:val="00E152A4"/>
    <w:rsid w:val="00E15782"/>
    <w:rsid w:val="00E16727"/>
    <w:rsid w:val="00E22E41"/>
    <w:rsid w:val="00E23755"/>
    <w:rsid w:val="00E24A39"/>
    <w:rsid w:val="00E25081"/>
    <w:rsid w:val="00E26EF3"/>
    <w:rsid w:val="00E2722B"/>
    <w:rsid w:val="00E30ACF"/>
    <w:rsid w:val="00E32363"/>
    <w:rsid w:val="00E3264F"/>
    <w:rsid w:val="00E32F89"/>
    <w:rsid w:val="00E3477E"/>
    <w:rsid w:val="00E36423"/>
    <w:rsid w:val="00E40018"/>
    <w:rsid w:val="00E40AE9"/>
    <w:rsid w:val="00E432B1"/>
    <w:rsid w:val="00E440E0"/>
    <w:rsid w:val="00E45182"/>
    <w:rsid w:val="00E45CD1"/>
    <w:rsid w:val="00E47CF6"/>
    <w:rsid w:val="00E50278"/>
    <w:rsid w:val="00E508B9"/>
    <w:rsid w:val="00E511C9"/>
    <w:rsid w:val="00E5279A"/>
    <w:rsid w:val="00E5396D"/>
    <w:rsid w:val="00E5492C"/>
    <w:rsid w:val="00E54A91"/>
    <w:rsid w:val="00E54DCE"/>
    <w:rsid w:val="00E55722"/>
    <w:rsid w:val="00E5579B"/>
    <w:rsid w:val="00E557CD"/>
    <w:rsid w:val="00E55A13"/>
    <w:rsid w:val="00E55E7D"/>
    <w:rsid w:val="00E6116C"/>
    <w:rsid w:val="00E62B51"/>
    <w:rsid w:val="00E640B3"/>
    <w:rsid w:val="00E6435C"/>
    <w:rsid w:val="00E6583A"/>
    <w:rsid w:val="00E67E61"/>
    <w:rsid w:val="00E70EC8"/>
    <w:rsid w:val="00E7181A"/>
    <w:rsid w:val="00E718B1"/>
    <w:rsid w:val="00E71A4F"/>
    <w:rsid w:val="00E7208F"/>
    <w:rsid w:val="00E73255"/>
    <w:rsid w:val="00E736AB"/>
    <w:rsid w:val="00E75D48"/>
    <w:rsid w:val="00E76235"/>
    <w:rsid w:val="00E76F4F"/>
    <w:rsid w:val="00E825A6"/>
    <w:rsid w:val="00E86A62"/>
    <w:rsid w:val="00E91A74"/>
    <w:rsid w:val="00E9203B"/>
    <w:rsid w:val="00E924AB"/>
    <w:rsid w:val="00E925A4"/>
    <w:rsid w:val="00E92754"/>
    <w:rsid w:val="00E93110"/>
    <w:rsid w:val="00E9453F"/>
    <w:rsid w:val="00E94D83"/>
    <w:rsid w:val="00E95EC4"/>
    <w:rsid w:val="00E97F60"/>
    <w:rsid w:val="00EA08D3"/>
    <w:rsid w:val="00EA4A72"/>
    <w:rsid w:val="00EA69ED"/>
    <w:rsid w:val="00EA728E"/>
    <w:rsid w:val="00EA7485"/>
    <w:rsid w:val="00EB2DB1"/>
    <w:rsid w:val="00EB40AA"/>
    <w:rsid w:val="00EB7BF4"/>
    <w:rsid w:val="00EC0CFA"/>
    <w:rsid w:val="00EC1497"/>
    <w:rsid w:val="00EC1794"/>
    <w:rsid w:val="00EC3B30"/>
    <w:rsid w:val="00EC44A0"/>
    <w:rsid w:val="00EC62B3"/>
    <w:rsid w:val="00EC7DD8"/>
    <w:rsid w:val="00ED105E"/>
    <w:rsid w:val="00ED1F08"/>
    <w:rsid w:val="00ED269B"/>
    <w:rsid w:val="00ED2A4D"/>
    <w:rsid w:val="00ED37C0"/>
    <w:rsid w:val="00ED4A5C"/>
    <w:rsid w:val="00ED7DB1"/>
    <w:rsid w:val="00EE1456"/>
    <w:rsid w:val="00EE1CBA"/>
    <w:rsid w:val="00EE36DA"/>
    <w:rsid w:val="00EE38C6"/>
    <w:rsid w:val="00EE4110"/>
    <w:rsid w:val="00EE4D6D"/>
    <w:rsid w:val="00EE5247"/>
    <w:rsid w:val="00EE5C1A"/>
    <w:rsid w:val="00EF27BD"/>
    <w:rsid w:val="00EF2D60"/>
    <w:rsid w:val="00EF4D56"/>
    <w:rsid w:val="00EF5710"/>
    <w:rsid w:val="00EF59C5"/>
    <w:rsid w:val="00F01891"/>
    <w:rsid w:val="00F02F40"/>
    <w:rsid w:val="00F03B46"/>
    <w:rsid w:val="00F07533"/>
    <w:rsid w:val="00F11597"/>
    <w:rsid w:val="00F1204A"/>
    <w:rsid w:val="00F131F8"/>
    <w:rsid w:val="00F14A95"/>
    <w:rsid w:val="00F16A57"/>
    <w:rsid w:val="00F17B9A"/>
    <w:rsid w:val="00F223F9"/>
    <w:rsid w:val="00F224DA"/>
    <w:rsid w:val="00F23F5E"/>
    <w:rsid w:val="00F24230"/>
    <w:rsid w:val="00F257FA"/>
    <w:rsid w:val="00F30BA8"/>
    <w:rsid w:val="00F30C8A"/>
    <w:rsid w:val="00F31D1D"/>
    <w:rsid w:val="00F3218D"/>
    <w:rsid w:val="00F338A4"/>
    <w:rsid w:val="00F33C8F"/>
    <w:rsid w:val="00F33E97"/>
    <w:rsid w:val="00F341DA"/>
    <w:rsid w:val="00F37718"/>
    <w:rsid w:val="00F40ED4"/>
    <w:rsid w:val="00F453C8"/>
    <w:rsid w:val="00F46BD0"/>
    <w:rsid w:val="00F504EF"/>
    <w:rsid w:val="00F52CD5"/>
    <w:rsid w:val="00F535E2"/>
    <w:rsid w:val="00F57A3C"/>
    <w:rsid w:val="00F57A51"/>
    <w:rsid w:val="00F605E6"/>
    <w:rsid w:val="00F62137"/>
    <w:rsid w:val="00F6333E"/>
    <w:rsid w:val="00F63485"/>
    <w:rsid w:val="00F6374F"/>
    <w:rsid w:val="00F647AA"/>
    <w:rsid w:val="00F677B1"/>
    <w:rsid w:val="00F72698"/>
    <w:rsid w:val="00F74463"/>
    <w:rsid w:val="00F76D0B"/>
    <w:rsid w:val="00F7752E"/>
    <w:rsid w:val="00F81466"/>
    <w:rsid w:val="00F81578"/>
    <w:rsid w:val="00F82105"/>
    <w:rsid w:val="00F828AD"/>
    <w:rsid w:val="00F82C74"/>
    <w:rsid w:val="00F85130"/>
    <w:rsid w:val="00F85319"/>
    <w:rsid w:val="00F85348"/>
    <w:rsid w:val="00F91419"/>
    <w:rsid w:val="00F942F5"/>
    <w:rsid w:val="00F95135"/>
    <w:rsid w:val="00F96214"/>
    <w:rsid w:val="00F96F4D"/>
    <w:rsid w:val="00F97887"/>
    <w:rsid w:val="00FA0A53"/>
    <w:rsid w:val="00FA1326"/>
    <w:rsid w:val="00FA3165"/>
    <w:rsid w:val="00FA7274"/>
    <w:rsid w:val="00FB05CE"/>
    <w:rsid w:val="00FB1172"/>
    <w:rsid w:val="00FB29A9"/>
    <w:rsid w:val="00FB2A8D"/>
    <w:rsid w:val="00FB3633"/>
    <w:rsid w:val="00FB417E"/>
    <w:rsid w:val="00FB5FDD"/>
    <w:rsid w:val="00FB786B"/>
    <w:rsid w:val="00FC12BF"/>
    <w:rsid w:val="00FC1A72"/>
    <w:rsid w:val="00FC27D6"/>
    <w:rsid w:val="00FC2B29"/>
    <w:rsid w:val="00FC3618"/>
    <w:rsid w:val="00FC3AC2"/>
    <w:rsid w:val="00FC66FA"/>
    <w:rsid w:val="00FC6F34"/>
    <w:rsid w:val="00FC7CA7"/>
    <w:rsid w:val="00FD0EBC"/>
    <w:rsid w:val="00FD5FBA"/>
    <w:rsid w:val="00FD707F"/>
    <w:rsid w:val="00FD7AC2"/>
    <w:rsid w:val="00FE10CF"/>
    <w:rsid w:val="00FE36C3"/>
    <w:rsid w:val="00FE3921"/>
    <w:rsid w:val="00FE76BA"/>
    <w:rsid w:val="00FF2660"/>
    <w:rsid w:val="00FF3233"/>
    <w:rsid w:val="00FF33E2"/>
    <w:rsid w:val="00FF45EA"/>
    <w:rsid w:val="00FF4C44"/>
    <w:rsid w:val="00FF5E80"/>
    <w:rsid w:val="00FF67F9"/>
    <w:rsid w:val="00FF69F3"/>
    <w:rsid w:val="6BFB0042"/>
    <w:rsid w:val="7FD7A1EB"/>
    <w:rsid w:val="B79FFA5C"/>
    <w:rsid w:val="FD464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3"/>
    <w:next w:val="1"/>
    <w:link w:val="11"/>
    <w:qFormat/>
    <w:uiPriority w:val="0"/>
    <w:pPr>
      <w:keepNext/>
      <w:keepLines/>
      <w:spacing w:before="340" w:after="330" w:line="576" w:lineRule="auto"/>
    </w:pPr>
    <w:rPr>
      <w:rFonts w:eastAsia="方正小标宋简体" w:asciiTheme="minorHAnsi" w:hAnsiTheme="minorHAnsi" w:cstheme="minorBidi"/>
      <w:b w:val="0"/>
      <w:bCs w:val="0"/>
      <w:kern w:val="44"/>
      <w:sz w:val="48"/>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paragraph" w:styleId="4">
    <w:name w:val="Body Text"/>
    <w:basedOn w:val="1"/>
    <w:next w:val="3"/>
    <w:link w:val="12"/>
    <w:qFormat/>
    <w:uiPriority w:val="99"/>
    <w:pPr>
      <w:spacing w:after="120"/>
    </w:pPr>
    <w:rPr>
      <w:rFonts w:asciiTheme="minorHAnsi" w:hAnsiTheme="minorHAnsi" w:eastAsiaTheme="minorEastAsia" w:cstheme="minorBidi"/>
      <w:szCs w:val="24"/>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等线" w:hAnsi="等线" w:eastAsia="等线" w:cs="Times New Roman"/>
      <w:sz w:val="18"/>
      <w:szCs w:val="18"/>
    </w:rPr>
  </w:style>
  <w:style w:type="character" w:customStyle="1" w:styleId="10">
    <w:name w:val="页脚 Char"/>
    <w:basedOn w:val="8"/>
    <w:link w:val="5"/>
    <w:qFormat/>
    <w:uiPriority w:val="99"/>
    <w:rPr>
      <w:rFonts w:ascii="等线" w:hAnsi="等线" w:eastAsia="等线" w:cs="Times New Roman"/>
      <w:sz w:val="18"/>
      <w:szCs w:val="18"/>
    </w:rPr>
  </w:style>
  <w:style w:type="character" w:customStyle="1" w:styleId="11">
    <w:name w:val="标题 1 Char"/>
    <w:basedOn w:val="8"/>
    <w:link w:val="2"/>
    <w:qFormat/>
    <w:uiPriority w:val="0"/>
    <w:rPr>
      <w:rFonts w:eastAsia="方正小标宋简体"/>
      <w:kern w:val="44"/>
      <w:sz w:val="48"/>
      <w:szCs w:val="24"/>
    </w:rPr>
  </w:style>
  <w:style w:type="character" w:customStyle="1" w:styleId="12">
    <w:name w:val="正文文本 Char"/>
    <w:basedOn w:val="8"/>
    <w:link w:val="4"/>
    <w:qFormat/>
    <w:uiPriority w:val="99"/>
    <w:rPr>
      <w:szCs w:val="24"/>
    </w:rPr>
  </w:style>
  <w:style w:type="character" w:customStyle="1" w:styleId="13">
    <w:name w:val="标题 Char"/>
    <w:basedOn w:val="8"/>
    <w:link w:val="3"/>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37</Pages>
  <Words>2839</Words>
  <Characters>16187</Characters>
  <Lines>134</Lines>
  <Paragraphs>37</Paragraphs>
  <TotalTime>6</TotalTime>
  <ScaleCrop>false</ScaleCrop>
  <LinksUpToDate>false</LinksUpToDate>
  <CharactersWithSpaces>18989</CharactersWithSpaces>
  <Application>WPS Office_6.13.1.8913_F1E327BC-269C-435d-A152-05C5408002CA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2025-11-18T21:24:00Z</dcterms:created>
  <dc:creator>微软用户</dc:creator>
  <cp:lastModifiedBy>张琦</cp:lastModifiedBy>
  <cp:lastPrinted>2025-11-18T23:22:00Z</cp:lastPrinted>
  <dcterms:modified xsi:type="dcterms:W3CDTF">2025-11-26T16:48:08Z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2052-6.13.1.8913</vt:lpwstr>
  </property>
  <property fmtid="{D5CDD505-2E9C-101B-9397-08002B2CF9AE}" pid="3" name="ICV">
    <vt:lpwstr>9823854B64ABC2EF80C72369EE286C2E_42</vt:lpwstr>
  </property>
</Properties>
</file>