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重要部署执行公开工作台账</w:t>
      </w:r>
    </w:p>
    <w:bookmarkEnd w:id="0"/>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（政府工作报告、年度重点工作等重大决策部署）</w:t>
      </w:r>
    </w:p>
    <w:tbl>
      <w:tblPr>
        <w:tblStyle w:val="6"/>
        <w:tblW w:w="14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622"/>
        <w:gridCol w:w="1240"/>
        <w:gridCol w:w="2464"/>
        <w:gridCol w:w="4253"/>
        <w:gridCol w:w="1276"/>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trPr>
        <w:tc>
          <w:tcPr>
            <w:tcW w:w="720" w:type="dxa"/>
            <w:vAlign w:val="center"/>
          </w:tcPr>
          <w:p>
            <w:pPr>
              <w:spacing w:line="300" w:lineRule="exact"/>
              <w:jc w:val="center"/>
              <w:rPr>
                <w:rFonts w:ascii="黑体" w:hAnsi="黑体" w:eastAsia="黑体" w:cs="黑体"/>
                <w:sz w:val="24"/>
              </w:rPr>
            </w:pPr>
            <w:r>
              <w:rPr>
                <w:rFonts w:hint="eastAsia" w:ascii="黑体" w:hAnsi="黑体" w:eastAsia="黑体" w:cs="黑体"/>
                <w:sz w:val="24"/>
              </w:rPr>
              <w:t>序</w:t>
            </w:r>
          </w:p>
          <w:p>
            <w:pPr>
              <w:spacing w:line="300" w:lineRule="exact"/>
              <w:jc w:val="center"/>
              <w:rPr>
                <w:rFonts w:ascii="黑体" w:hAnsi="黑体" w:eastAsia="黑体" w:cs="黑体"/>
                <w:sz w:val="24"/>
              </w:rPr>
            </w:pPr>
            <w:r>
              <w:rPr>
                <w:rFonts w:hint="eastAsia" w:ascii="黑体" w:hAnsi="黑体" w:eastAsia="黑体" w:cs="黑体"/>
                <w:sz w:val="24"/>
              </w:rPr>
              <w:t>号</w:t>
            </w:r>
          </w:p>
        </w:tc>
        <w:tc>
          <w:tcPr>
            <w:tcW w:w="3622" w:type="dxa"/>
            <w:vAlign w:val="center"/>
          </w:tcPr>
          <w:p>
            <w:pPr>
              <w:jc w:val="center"/>
              <w:rPr>
                <w:rFonts w:ascii="黑体" w:hAnsi="黑体" w:eastAsia="黑体" w:cs="黑体"/>
                <w:sz w:val="24"/>
              </w:rPr>
            </w:pPr>
            <w:r>
              <w:rPr>
                <w:rFonts w:hint="eastAsia" w:ascii="黑体" w:hAnsi="黑体" w:eastAsia="黑体" w:cs="黑体"/>
                <w:sz w:val="24"/>
              </w:rPr>
              <w:t>重要部署</w:t>
            </w:r>
          </w:p>
        </w:tc>
        <w:tc>
          <w:tcPr>
            <w:tcW w:w="1240" w:type="dxa"/>
            <w:vAlign w:val="center"/>
          </w:tcPr>
          <w:p>
            <w:pPr>
              <w:spacing w:line="300" w:lineRule="exact"/>
              <w:jc w:val="center"/>
              <w:rPr>
                <w:rFonts w:ascii="黑体" w:hAnsi="黑体" w:eastAsia="黑体" w:cs="黑体"/>
                <w:sz w:val="24"/>
              </w:rPr>
            </w:pPr>
            <w:r>
              <w:rPr>
                <w:rFonts w:hint="eastAsia" w:ascii="黑体" w:hAnsi="黑体" w:eastAsia="黑体" w:cs="黑体"/>
                <w:sz w:val="24"/>
              </w:rPr>
              <w:t>实施步骤</w:t>
            </w:r>
          </w:p>
        </w:tc>
        <w:tc>
          <w:tcPr>
            <w:tcW w:w="2464" w:type="dxa"/>
            <w:vAlign w:val="center"/>
          </w:tcPr>
          <w:p>
            <w:pPr>
              <w:jc w:val="center"/>
              <w:rPr>
                <w:rFonts w:ascii="黑体" w:hAnsi="黑体" w:eastAsia="黑体" w:cs="黑体"/>
                <w:sz w:val="24"/>
              </w:rPr>
            </w:pPr>
            <w:r>
              <w:rPr>
                <w:rFonts w:hint="eastAsia" w:ascii="黑体" w:hAnsi="黑体" w:eastAsia="黑体" w:cs="黑体"/>
                <w:sz w:val="24"/>
              </w:rPr>
              <w:t>执行措施</w:t>
            </w:r>
          </w:p>
        </w:tc>
        <w:tc>
          <w:tcPr>
            <w:tcW w:w="4253" w:type="dxa"/>
            <w:vAlign w:val="center"/>
          </w:tcPr>
          <w:p>
            <w:pPr>
              <w:jc w:val="center"/>
              <w:rPr>
                <w:rFonts w:ascii="黑体" w:hAnsi="黑体" w:eastAsia="黑体" w:cs="黑体"/>
                <w:sz w:val="24"/>
              </w:rPr>
            </w:pPr>
            <w:r>
              <w:rPr>
                <w:rFonts w:hint="eastAsia" w:ascii="黑体" w:hAnsi="黑体" w:eastAsia="黑体" w:cs="黑体"/>
                <w:sz w:val="24"/>
              </w:rPr>
              <w:t>工作进展及成效</w:t>
            </w:r>
          </w:p>
        </w:tc>
        <w:tc>
          <w:tcPr>
            <w:tcW w:w="1276" w:type="dxa"/>
            <w:vAlign w:val="center"/>
          </w:tcPr>
          <w:p>
            <w:pPr>
              <w:jc w:val="center"/>
              <w:rPr>
                <w:rFonts w:ascii="黑体" w:hAnsi="黑体" w:eastAsia="黑体" w:cs="黑体"/>
                <w:sz w:val="24"/>
              </w:rPr>
            </w:pPr>
            <w:r>
              <w:rPr>
                <w:rFonts w:hint="eastAsia" w:ascii="黑体" w:hAnsi="黑体" w:eastAsia="黑体" w:cs="黑体"/>
                <w:sz w:val="24"/>
              </w:rPr>
              <w:t>责任分工</w:t>
            </w:r>
          </w:p>
        </w:tc>
        <w:tc>
          <w:tcPr>
            <w:tcW w:w="1188" w:type="dxa"/>
            <w:vAlign w:val="center"/>
          </w:tcPr>
          <w:p>
            <w:pPr>
              <w:jc w:val="center"/>
              <w:rPr>
                <w:rFonts w:ascii="黑体" w:hAnsi="黑体" w:eastAsia="黑体" w:cs="黑体"/>
                <w:sz w:val="24"/>
              </w:rPr>
            </w:pPr>
            <w:r>
              <w:rPr>
                <w:rFonts w:hint="eastAsia" w:ascii="黑体" w:hAnsi="黑体" w:eastAsia="黑体" w:cs="黑体"/>
                <w:sz w:val="24"/>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20" w:type="dxa"/>
            <w:vAlign w:val="center"/>
          </w:tcPr>
          <w:p>
            <w:pPr>
              <w:jc w:val="center"/>
              <w:rPr>
                <w:rFonts w:ascii="黑体" w:hAnsi="黑体" w:eastAsia="黑体" w:cs="黑体"/>
                <w:sz w:val="30"/>
                <w:szCs w:val="30"/>
              </w:rPr>
            </w:pPr>
            <w:r>
              <w:rPr>
                <w:rFonts w:hint="eastAsia"/>
              </w:rPr>
              <w:t>18</w:t>
            </w:r>
          </w:p>
        </w:tc>
        <w:tc>
          <w:tcPr>
            <w:tcW w:w="3622" w:type="dxa"/>
            <w:vAlign w:val="center"/>
          </w:tcPr>
          <w:p>
            <w:pPr>
              <w:rPr>
                <w:rFonts w:ascii="黑体" w:hAnsi="黑体" w:eastAsia="黑体" w:cs="黑体"/>
                <w:sz w:val="30"/>
                <w:szCs w:val="30"/>
              </w:rPr>
            </w:pPr>
            <w:r>
              <w:rPr>
                <w:rFonts w:hint="eastAsia"/>
              </w:rPr>
              <w:t>加快数字山东建设，推进5G通讯、人工智能、量子通讯、工业互联网、物联网与制造业深度融合，研究制定“现代优势产业集群+人工智能”的推进方案。</w:t>
            </w:r>
          </w:p>
        </w:tc>
        <w:tc>
          <w:tcPr>
            <w:tcW w:w="1240" w:type="dxa"/>
            <w:vAlign w:val="center"/>
          </w:tcPr>
          <w:p>
            <w:pPr>
              <w:rPr>
                <w:rFonts w:ascii="黑体" w:hAnsi="黑体" w:eastAsia="黑体" w:cs="黑体"/>
                <w:sz w:val="30"/>
                <w:szCs w:val="30"/>
              </w:rPr>
            </w:pPr>
          </w:p>
        </w:tc>
        <w:tc>
          <w:tcPr>
            <w:tcW w:w="2464" w:type="dxa"/>
          </w:tcPr>
          <w:p>
            <w:pPr>
              <w:ind w:firstLine="420" w:firstLineChars="200"/>
            </w:pPr>
            <w:r>
              <w:rPr>
                <w:rFonts w:hint="eastAsia"/>
              </w:rPr>
              <w:t>实施省重点研发计划等，积极推动5G通讯、人工智能、量子通讯、工业互联网、物联网等重点领域关键共性技术研发，推动相关技术在制造业领域的应用。</w:t>
            </w:r>
          </w:p>
        </w:tc>
        <w:tc>
          <w:tcPr>
            <w:tcW w:w="4253" w:type="dxa"/>
            <w:vAlign w:val="center"/>
          </w:tcPr>
          <w:p>
            <w:pPr>
              <w:ind w:firstLine="420" w:firstLineChars="200"/>
            </w:pPr>
            <w:r>
              <w:rPr>
                <w:rFonts w:hint="eastAsia"/>
              </w:rPr>
              <w:t>将人工智能技术研发及产业应用作为2019年省重大科技创新工程的重要内容，组织企业、高校和科研单位协同攻关，开展人工智能、量子技术、工业互联网、物联网等领域技术和产品研发。经委托科技部高技术中心组织专家评审，100个创新性强、产业化前景好、对产业发展带动明显的重点项目已经进入现场考察阶段。下一步将对省重大科技创新工程项目进行支持，推动关键共性技术突破，带动相关产业发展。</w:t>
            </w:r>
          </w:p>
        </w:tc>
        <w:tc>
          <w:tcPr>
            <w:tcW w:w="1276" w:type="dxa"/>
            <w:vAlign w:val="center"/>
          </w:tcPr>
          <w:p>
            <w:pPr>
              <w:ind w:firstLine="420" w:firstLineChars="200"/>
              <w:jc w:val="center"/>
            </w:pPr>
            <w:r>
              <w:rPr>
                <w:rFonts w:hint="eastAsia"/>
              </w:rPr>
              <w:t>高新处</w:t>
            </w:r>
          </w:p>
        </w:tc>
        <w:tc>
          <w:tcPr>
            <w:tcW w:w="1188" w:type="dxa"/>
          </w:tcPr>
          <w:p>
            <w:pPr>
              <w:ind w:firstLine="420" w:firstLineChars="200"/>
            </w:pPr>
            <w:r>
              <w:rPr>
                <w:rFonts w:hint="eastAsia"/>
              </w:rPr>
              <w:t>0531-66777269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720" w:type="dxa"/>
            <w:vMerge w:val="restart"/>
            <w:vAlign w:val="center"/>
          </w:tcPr>
          <w:p>
            <w:pPr>
              <w:jc w:val="center"/>
              <w:rPr>
                <w:rFonts w:ascii="黑体" w:hAnsi="黑体" w:eastAsia="黑体" w:cs="黑体"/>
                <w:sz w:val="30"/>
                <w:szCs w:val="30"/>
              </w:rPr>
            </w:pPr>
            <w:r>
              <w:rPr>
                <w:rFonts w:hint="eastAsia"/>
              </w:rPr>
              <w:t>29</w:t>
            </w:r>
          </w:p>
        </w:tc>
        <w:tc>
          <w:tcPr>
            <w:tcW w:w="3622" w:type="dxa"/>
            <w:vMerge w:val="restart"/>
            <w:vAlign w:val="center"/>
          </w:tcPr>
          <w:p>
            <w:pPr>
              <w:rPr>
                <w:rFonts w:ascii="黑体" w:hAnsi="黑体" w:eastAsia="黑体" w:cs="黑体"/>
                <w:sz w:val="30"/>
                <w:szCs w:val="30"/>
              </w:rPr>
            </w:pPr>
            <w:r>
              <w:rPr>
                <w:rFonts w:hint="eastAsia"/>
              </w:rPr>
              <w:t>大力推进开发区等园区体制改革，突出开发区主责主业，建立灵活的用人制度和薪酬体系，促进各类园区高质量发展。</w:t>
            </w:r>
          </w:p>
        </w:tc>
        <w:tc>
          <w:tcPr>
            <w:tcW w:w="1240" w:type="dxa"/>
            <w:vMerge w:val="restart"/>
            <w:vAlign w:val="center"/>
          </w:tcPr>
          <w:p>
            <w:pPr>
              <w:rPr>
                <w:rFonts w:ascii="黑体" w:hAnsi="黑体" w:eastAsia="黑体" w:cs="黑体"/>
                <w:sz w:val="30"/>
                <w:szCs w:val="30"/>
              </w:rPr>
            </w:pPr>
          </w:p>
        </w:tc>
        <w:tc>
          <w:tcPr>
            <w:tcW w:w="2464" w:type="dxa"/>
          </w:tcPr>
          <w:p>
            <w:pPr>
              <w:ind w:firstLine="420" w:firstLineChars="200"/>
            </w:pPr>
            <w:r>
              <w:rPr>
                <w:rFonts w:hint="eastAsia"/>
              </w:rPr>
              <w:t>1.会同商务厅等省直有关部门研究起草推进开发区体制机制改革创新的政策措施，指导高新区积极探索“政府引导、企业运作”“管委会+公司”等模式，引进园区运营商，加快市场化改革，实行多元化投入、企业化管理、市场化运作、专业化服务，激发高质量发展新活</w:t>
            </w:r>
          </w:p>
        </w:tc>
        <w:tc>
          <w:tcPr>
            <w:tcW w:w="4253" w:type="dxa"/>
            <w:vMerge w:val="restart"/>
            <w:vAlign w:val="center"/>
          </w:tcPr>
          <w:p>
            <w:pPr>
              <w:ind w:firstLine="420" w:firstLineChars="200"/>
            </w:pPr>
            <w:r>
              <w:rPr>
                <w:rFonts w:hint="eastAsia"/>
              </w:rPr>
              <w:t>1.按照省委改革办关于开发区体制机制创新重大问题调研统一部署，我厅参与商务厅牵头的开发区“管委会+公司”运营模式问题调研，并作为工作专班成员单位参与起草《关于推动开发区体制机制改革创新促进高质量发展的意见》。文件已经省委第十一届九次全会审议通过，印发出台。下一步，省科技厅将深入贯彻落实《意见》精神，按照省委省政府的工作部署，指导各高新区编制改革方案，扎实推进高新区改革发展。</w:t>
            </w:r>
          </w:p>
          <w:p>
            <w:pPr>
              <w:ind w:firstLine="420" w:firstLineChars="200"/>
            </w:pPr>
            <w:r>
              <w:rPr>
                <w:rFonts w:hint="eastAsia"/>
              </w:rPr>
              <w:t>2.重点围绕科技园区带动科技扶贫和黄河滩区科技帮扶、科技园区支撑乡村产业振兴齐鲁样板、农业科技综合服务体系建设等三个方向；组织开展了第二批省级农业科技园评估验收工作，下发了《关于开展第二批省级农业科技园评估验收工作的预备通知》，目前已各园区已完成验收材料的报送。</w:t>
            </w:r>
          </w:p>
        </w:tc>
        <w:tc>
          <w:tcPr>
            <w:tcW w:w="1276" w:type="dxa"/>
            <w:vAlign w:val="center"/>
          </w:tcPr>
          <w:p>
            <w:pPr>
              <w:jc w:val="center"/>
            </w:pPr>
            <w:r>
              <w:rPr>
                <w:rFonts w:hint="eastAsia"/>
              </w:rPr>
              <w:t>成果与区域处</w:t>
            </w:r>
          </w:p>
          <w:p>
            <w:pPr>
              <w:ind w:firstLine="420" w:firstLineChars="200"/>
              <w:jc w:val="center"/>
            </w:pPr>
          </w:p>
        </w:tc>
        <w:tc>
          <w:tcPr>
            <w:tcW w:w="1188" w:type="dxa"/>
            <w:vMerge w:val="restart"/>
          </w:tcPr>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720" w:type="dxa"/>
            <w:vMerge w:val="continue"/>
            <w:vAlign w:val="center"/>
          </w:tcPr>
          <w:p>
            <w:pPr>
              <w:jc w:val="center"/>
            </w:pPr>
          </w:p>
        </w:tc>
        <w:tc>
          <w:tcPr>
            <w:tcW w:w="3622" w:type="dxa"/>
            <w:vMerge w:val="continue"/>
            <w:vAlign w:val="center"/>
          </w:tcPr>
          <w:p/>
        </w:tc>
        <w:tc>
          <w:tcPr>
            <w:tcW w:w="1240" w:type="dxa"/>
            <w:vMerge w:val="continue"/>
            <w:vAlign w:val="center"/>
          </w:tcPr>
          <w:p>
            <w:pPr>
              <w:rPr>
                <w:rFonts w:ascii="黑体" w:hAnsi="黑体" w:eastAsia="黑体" w:cs="黑体"/>
                <w:sz w:val="30"/>
                <w:szCs w:val="30"/>
              </w:rPr>
            </w:pPr>
          </w:p>
        </w:tc>
        <w:tc>
          <w:tcPr>
            <w:tcW w:w="2464" w:type="dxa"/>
          </w:tcPr>
          <w:p>
            <w:pPr>
              <w:ind w:firstLine="420" w:firstLineChars="200"/>
            </w:pPr>
            <w:r>
              <w:rPr>
                <w:rFonts w:hint="eastAsia"/>
              </w:rPr>
              <w:t>2.组织开展第二批省级农业科技园评估、验收工作。</w:t>
            </w:r>
          </w:p>
        </w:tc>
        <w:tc>
          <w:tcPr>
            <w:tcW w:w="4253" w:type="dxa"/>
            <w:vMerge w:val="continue"/>
            <w:vAlign w:val="center"/>
          </w:tcPr>
          <w:p>
            <w:pPr>
              <w:ind w:firstLine="420" w:firstLineChars="200"/>
            </w:pPr>
          </w:p>
        </w:tc>
        <w:tc>
          <w:tcPr>
            <w:tcW w:w="1276" w:type="dxa"/>
            <w:vAlign w:val="center"/>
          </w:tcPr>
          <w:p>
            <w:pPr>
              <w:ind w:firstLine="420" w:firstLineChars="200"/>
              <w:jc w:val="center"/>
            </w:pPr>
            <w:r>
              <w:rPr>
                <w:rFonts w:hint="eastAsia"/>
              </w:rPr>
              <w:t>农村处</w:t>
            </w:r>
          </w:p>
        </w:tc>
        <w:tc>
          <w:tcPr>
            <w:tcW w:w="1188" w:type="dxa"/>
            <w:vMerge w:val="continue"/>
          </w:tcPr>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720" w:type="dxa"/>
            <w:vMerge w:val="continue"/>
            <w:vAlign w:val="center"/>
          </w:tcPr>
          <w:p>
            <w:pPr>
              <w:jc w:val="center"/>
            </w:pPr>
          </w:p>
        </w:tc>
        <w:tc>
          <w:tcPr>
            <w:tcW w:w="3622" w:type="dxa"/>
            <w:vMerge w:val="continue"/>
            <w:vAlign w:val="center"/>
          </w:tcPr>
          <w:p/>
        </w:tc>
        <w:tc>
          <w:tcPr>
            <w:tcW w:w="1240" w:type="dxa"/>
            <w:vMerge w:val="continue"/>
            <w:vAlign w:val="center"/>
          </w:tcPr>
          <w:p>
            <w:pPr>
              <w:rPr>
                <w:rFonts w:ascii="黑体" w:hAnsi="黑体" w:eastAsia="黑体" w:cs="黑体"/>
                <w:sz w:val="30"/>
                <w:szCs w:val="30"/>
              </w:rPr>
            </w:pPr>
          </w:p>
        </w:tc>
        <w:tc>
          <w:tcPr>
            <w:tcW w:w="2464" w:type="dxa"/>
          </w:tcPr>
          <w:p>
            <w:pPr>
              <w:ind w:firstLine="420" w:firstLineChars="200"/>
            </w:pPr>
            <w:r>
              <w:rPr>
                <w:rFonts w:hint="eastAsia"/>
              </w:rPr>
              <w:t>3.组织实施一批农业科技园区产业提升工程项目，助推园区产业提升，打造园区支撑乡村产业振兴齐鲁样板，巩固我省农业科技园区体系全国领先优势。</w:t>
            </w:r>
          </w:p>
        </w:tc>
        <w:tc>
          <w:tcPr>
            <w:tcW w:w="4253" w:type="dxa"/>
            <w:vMerge w:val="continue"/>
            <w:vAlign w:val="center"/>
          </w:tcPr>
          <w:p>
            <w:pPr>
              <w:ind w:firstLine="420" w:firstLineChars="200"/>
            </w:pPr>
          </w:p>
        </w:tc>
        <w:tc>
          <w:tcPr>
            <w:tcW w:w="1276" w:type="dxa"/>
            <w:vAlign w:val="center"/>
          </w:tcPr>
          <w:p>
            <w:pPr>
              <w:ind w:firstLine="420" w:firstLineChars="200"/>
              <w:jc w:val="center"/>
            </w:pPr>
          </w:p>
        </w:tc>
        <w:tc>
          <w:tcPr>
            <w:tcW w:w="1188" w:type="dxa"/>
            <w:vMerge w:val="continue"/>
          </w:tcPr>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20" w:type="dxa"/>
            <w:vAlign w:val="center"/>
          </w:tcPr>
          <w:p>
            <w:pPr>
              <w:jc w:val="center"/>
              <w:rPr>
                <w:rFonts w:ascii="黑体" w:hAnsi="黑体" w:eastAsia="黑体" w:cs="黑体"/>
                <w:sz w:val="30"/>
                <w:szCs w:val="30"/>
              </w:rPr>
            </w:pPr>
            <w:r>
              <w:rPr>
                <w:rFonts w:hint="eastAsia"/>
              </w:rPr>
              <w:t>40</w:t>
            </w:r>
          </w:p>
        </w:tc>
        <w:tc>
          <w:tcPr>
            <w:tcW w:w="3622" w:type="dxa"/>
            <w:vAlign w:val="center"/>
          </w:tcPr>
          <w:p>
            <w:pPr>
              <w:rPr>
                <w:rFonts w:ascii="黑体" w:hAnsi="黑体" w:eastAsia="黑体" w:cs="黑体"/>
                <w:sz w:val="30"/>
                <w:szCs w:val="30"/>
              </w:rPr>
            </w:pPr>
            <w:r>
              <w:rPr>
                <w:rFonts w:hint="eastAsia"/>
              </w:rPr>
              <w:t>坚持藏粮于地、藏粮于技战略，实施耕地质量提升计划，加快高标准农田建设，扎实开展粮食绿色高质高效创建和“渤海粮仓”科技示范工程，确保粮食总产稳定在1000亿斤以上。</w:t>
            </w:r>
          </w:p>
        </w:tc>
        <w:tc>
          <w:tcPr>
            <w:tcW w:w="1240" w:type="dxa"/>
            <w:vAlign w:val="center"/>
          </w:tcPr>
          <w:p>
            <w:pPr>
              <w:rPr>
                <w:rFonts w:ascii="黑体" w:hAnsi="黑体" w:eastAsia="黑体" w:cs="黑体"/>
                <w:sz w:val="30"/>
                <w:szCs w:val="30"/>
              </w:rPr>
            </w:pPr>
          </w:p>
        </w:tc>
        <w:tc>
          <w:tcPr>
            <w:tcW w:w="2464" w:type="dxa"/>
          </w:tcPr>
          <w:p>
            <w:pPr>
              <w:ind w:firstLine="420" w:firstLineChars="200"/>
            </w:pPr>
            <w:r>
              <w:rPr>
                <w:rFonts w:hint="eastAsia"/>
              </w:rPr>
              <w:t>组织实施一批“渤海粮仓”科技示范工程升级版项目，重点围绕耐盐品种筛选、盐碱地高效绿色生态农业生产模式示范开展试验示范。</w:t>
            </w:r>
          </w:p>
        </w:tc>
        <w:tc>
          <w:tcPr>
            <w:tcW w:w="4253" w:type="dxa"/>
            <w:vAlign w:val="center"/>
          </w:tcPr>
          <w:p>
            <w:pPr>
              <w:ind w:firstLine="420" w:firstLineChars="200"/>
            </w:pPr>
            <w:r>
              <w:rPr>
                <w:rFonts w:hint="eastAsia"/>
              </w:rPr>
              <w:t>安排盐碱地区域适宜植物品种筛选示范和多元化绿色高效农业生产模式创新与示范2个重点方向，组织完成了2019年“渤海粮仓”科技示范工程升级版项目的申报、形式审查、评审论证和计划下达工作，立项支持项目6项。下步将全面推动项目实施。</w:t>
            </w:r>
          </w:p>
        </w:tc>
        <w:tc>
          <w:tcPr>
            <w:tcW w:w="1276" w:type="dxa"/>
            <w:vAlign w:val="center"/>
          </w:tcPr>
          <w:p>
            <w:pPr>
              <w:ind w:firstLine="420" w:firstLineChars="200"/>
              <w:jc w:val="center"/>
            </w:pPr>
            <w:r>
              <w:rPr>
                <w:rFonts w:hint="eastAsia"/>
              </w:rPr>
              <w:t>农村处</w:t>
            </w:r>
          </w:p>
        </w:tc>
        <w:tc>
          <w:tcPr>
            <w:tcW w:w="1188" w:type="dxa"/>
          </w:tcPr>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20" w:type="dxa"/>
            <w:vAlign w:val="center"/>
          </w:tcPr>
          <w:p>
            <w:pPr>
              <w:jc w:val="center"/>
              <w:rPr>
                <w:rFonts w:ascii="黑体" w:hAnsi="黑体" w:eastAsia="黑体" w:cs="黑体"/>
                <w:sz w:val="30"/>
                <w:szCs w:val="30"/>
              </w:rPr>
            </w:pPr>
            <w:r>
              <w:rPr>
                <w:rFonts w:hint="eastAsia"/>
              </w:rPr>
              <w:t>44</w:t>
            </w:r>
          </w:p>
        </w:tc>
        <w:tc>
          <w:tcPr>
            <w:tcW w:w="3622" w:type="dxa"/>
            <w:vAlign w:val="center"/>
          </w:tcPr>
          <w:p>
            <w:pPr>
              <w:rPr>
                <w:rFonts w:ascii="黑体" w:hAnsi="黑体" w:eastAsia="黑体" w:cs="黑体"/>
                <w:sz w:val="30"/>
                <w:szCs w:val="30"/>
              </w:rPr>
            </w:pPr>
            <w:r>
              <w:rPr>
                <w:rFonts w:hint="eastAsia"/>
              </w:rPr>
              <w:t>推进国家和省级现代农业产业园、农业高新技术开发区创建，再打造省级田园综合体20个以上。</w:t>
            </w:r>
          </w:p>
        </w:tc>
        <w:tc>
          <w:tcPr>
            <w:tcW w:w="1240" w:type="dxa"/>
            <w:vAlign w:val="center"/>
          </w:tcPr>
          <w:p>
            <w:pPr>
              <w:rPr>
                <w:rFonts w:ascii="黑体" w:hAnsi="黑体" w:eastAsia="黑体" w:cs="黑体"/>
                <w:sz w:val="30"/>
                <w:szCs w:val="30"/>
              </w:rPr>
            </w:pPr>
          </w:p>
        </w:tc>
        <w:tc>
          <w:tcPr>
            <w:tcW w:w="2464" w:type="dxa"/>
          </w:tcPr>
          <w:p>
            <w:pPr>
              <w:ind w:firstLine="420" w:firstLineChars="200"/>
            </w:pPr>
            <w:r>
              <w:rPr>
                <w:rFonts w:hint="eastAsia"/>
              </w:rPr>
              <w:t>1.配合做好寿光农业特色国家高新区升级相关工作；</w:t>
            </w:r>
          </w:p>
          <w:p>
            <w:pPr>
              <w:ind w:firstLine="420" w:firstLineChars="200"/>
            </w:pPr>
            <w:r>
              <w:rPr>
                <w:rFonts w:hint="eastAsia"/>
              </w:rPr>
              <w:t>2.强化省级农业高新技术产业开发区创建指导和服务工作，争取新批准建设1-2家。</w:t>
            </w:r>
          </w:p>
        </w:tc>
        <w:tc>
          <w:tcPr>
            <w:tcW w:w="4253" w:type="dxa"/>
            <w:vAlign w:val="center"/>
          </w:tcPr>
          <w:p>
            <w:pPr>
              <w:ind w:firstLine="420" w:firstLineChars="200"/>
            </w:pPr>
            <w:r>
              <w:rPr>
                <w:rFonts w:hint="eastAsia"/>
              </w:rPr>
              <w:t>1.积极配合高新处做好寿光农业特色国家高新区升级工作。</w:t>
            </w:r>
          </w:p>
          <w:p>
            <w:pPr>
              <w:ind w:firstLine="420" w:firstLineChars="200"/>
            </w:pPr>
            <w:r>
              <w:rPr>
                <w:rFonts w:hint="eastAsia"/>
              </w:rPr>
              <w:t>2.积极指导相关单位建设省级农高区，现场考察了日照筹建省级农高区的情况，与滨州省级农高区筹建组进行了座谈交流。</w:t>
            </w:r>
          </w:p>
        </w:tc>
        <w:tc>
          <w:tcPr>
            <w:tcW w:w="1276" w:type="dxa"/>
            <w:vAlign w:val="center"/>
          </w:tcPr>
          <w:p>
            <w:pPr>
              <w:ind w:firstLine="420" w:firstLineChars="200"/>
              <w:jc w:val="center"/>
            </w:pPr>
            <w:r>
              <w:rPr>
                <w:rFonts w:hint="eastAsia"/>
              </w:rPr>
              <w:t>农村处</w:t>
            </w:r>
          </w:p>
        </w:tc>
        <w:tc>
          <w:tcPr>
            <w:tcW w:w="1188" w:type="dxa"/>
          </w:tcPr>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trPr>
        <w:tc>
          <w:tcPr>
            <w:tcW w:w="720" w:type="dxa"/>
            <w:vMerge w:val="restart"/>
            <w:vAlign w:val="center"/>
          </w:tcPr>
          <w:p>
            <w:pPr>
              <w:jc w:val="center"/>
              <w:rPr>
                <w:rFonts w:ascii="黑体" w:hAnsi="黑体" w:eastAsia="黑体" w:cs="黑体"/>
                <w:sz w:val="30"/>
                <w:szCs w:val="30"/>
              </w:rPr>
            </w:pPr>
            <w:r>
              <w:rPr>
                <w:rFonts w:hint="eastAsia"/>
              </w:rPr>
              <w:t>119</w:t>
            </w:r>
          </w:p>
        </w:tc>
        <w:tc>
          <w:tcPr>
            <w:tcW w:w="3622" w:type="dxa"/>
            <w:vMerge w:val="restart"/>
            <w:vAlign w:val="center"/>
          </w:tcPr>
          <w:p>
            <w:pPr>
              <w:rPr>
                <w:rFonts w:ascii="黑体" w:hAnsi="黑体" w:eastAsia="黑体" w:cs="黑体"/>
                <w:sz w:val="30"/>
                <w:szCs w:val="30"/>
              </w:rPr>
            </w:pPr>
            <w:r>
              <w:rPr>
                <w:rFonts w:hint="eastAsia"/>
              </w:rPr>
              <w:t>深入实施创新驱动发展战略，提供高质量科技供给，研发投入占生产总值的比重达到2.55%左右。</w:t>
            </w:r>
          </w:p>
        </w:tc>
        <w:tc>
          <w:tcPr>
            <w:tcW w:w="1240" w:type="dxa"/>
            <w:vMerge w:val="restart"/>
            <w:vAlign w:val="center"/>
          </w:tcPr>
          <w:p>
            <w:pPr>
              <w:jc w:val="center"/>
              <w:rPr>
                <w:rFonts w:ascii="黑体" w:hAnsi="黑体" w:eastAsia="黑体" w:cs="黑体"/>
                <w:sz w:val="30"/>
                <w:szCs w:val="30"/>
              </w:rPr>
            </w:pPr>
          </w:p>
        </w:tc>
        <w:tc>
          <w:tcPr>
            <w:tcW w:w="2464" w:type="dxa"/>
          </w:tcPr>
          <w:p>
            <w:pPr>
              <w:ind w:firstLine="420" w:firstLineChars="200"/>
            </w:pPr>
            <w:r>
              <w:rPr>
                <w:rFonts w:hint="eastAsia"/>
              </w:rPr>
              <w:t>1.出台《关于整合优化财政科技资金深化科技计划管理改革的实施意见》，充分发挥财政科技资金的引导作用，加大全社会研发经费投入。</w:t>
            </w:r>
          </w:p>
        </w:tc>
        <w:tc>
          <w:tcPr>
            <w:tcW w:w="4253" w:type="dxa"/>
            <w:vMerge w:val="restart"/>
            <w:vAlign w:val="center"/>
          </w:tcPr>
          <w:p>
            <w:pPr>
              <w:ind w:firstLine="420" w:firstLineChars="200"/>
            </w:pPr>
            <w:r>
              <w:rPr>
                <w:rFonts w:hint="eastAsia"/>
              </w:rPr>
              <w:t>1.会同省财政厅制定出台《山东省省级科技创新发展资金管理暂行办法》，规范和加强山东省省级科技创新发展资金使用管理，推进资金统筹使用。</w:t>
            </w:r>
          </w:p>
          <w:p>
            <w:pPr>
              <w:ind w:firstLine="420" w:firstLineChars="200"/>
            </w:pPr>
            <w:r>
              <w:rPr>
                <w:rFonts w:hint="eastAsia"/>
              </w:rPr>
              <w:t>2. 按照“聚焦前沿，鼓励探索，需求牵引，交叉融通”的思路，建立新时代省自然基金资助体系，按照青年基金、面上项目、重大基础研究、优秀青年基金、杰出青年基金、联合基金、应急管理等专项组织实施省自然科学基金。</w:t>
            </w:r>
          </w:p>
          <w:p>
            <w:pPr>
              <w:ind w:firstLine="420" w:firstLineChars="200"/>
            </w:pPr>
            <w:r>
              <w:rPr>
                <w:rFonts w:hint="eastAsia"/>
              </w:rPr>
              <w:t>3.加快省自然科学基金预算执行进度。新上项目1857项，拨付年度资金 31525万元，年度预算执行超过一半。</w:t>
            </w:r>
          </w:p>
          <w:p>
            <w:pPr>
              <w:ind w:firstLine="420" w:firstLineChars="200"/>
            </w:pPr>
            <w:r>
              <w:rPr>
                <w:rFonts w:hint="eastAsia"/>
              </w:rPr>
              <w:t>4.优化省自然科学基金支持结构。进一步强化对青年科研人员支持力度，35岁以下的青年科研人员的项目，占比达到61.98%，促进基础研究和应用基础研究与产业发展需求的有效对接，加大了对科研院所、企业的支持力度，科研院所、企业承担的项目占总数的11.87%，同比有较大幅度的增长，鼓励引导科研院所、企业的科研人员潜心从事应用基础研究。激励引导青年人才潜心科学研究。支持杰出青年人才和省属优青56人，巩固树立了省自然科学基金人才专项品牌。</w:t>
            </w:r>
          </w:p>
        </w:tc>
        <w:tc>
          <w:tcPr>
            <w:tcW w:w="1276" w:type="dxa"/>
            <w:vMerge w:val="restart"/>
            <w:vAlign w:val="center"/>
          </w:tcPr>
          <w:p>
            <w:pPr>
              <w:jc w:val="center"/>
            </w:pPr>
            <w:r>
              <w:rPr>
                <w:rFonts w:hint="eastAsia"/>
              </w:rPr>
              <w:t>资配处</w:t>
            </w:r>
          </w:p>
          <w:p>
            <w:pPr>
              <w:jc w:val="center"/>
            </w:pPr>
            <w:r>
              <w:rPr>
                <w:rFonts w:hint="eastAsia"/>
              </w:rPr>
              <w:t>专项办</w:t>
            </w:r>
          </w:p>
          <w:p>
            <w:pPr>
              <w:jc w:val="center"/>
            </w:pPr>
            <w:r>
              <w:rPr>
                <w:rFonts w:hint="eastAsia"/>
              </w:rPr>
              <w:t>基础处</w:t>
            </w:r>
          </w:p>
          <w:p>
            <w:pPr>
              <w:jc w:val="center"/>
            </w:pPr>
            <w:r>
              <w:rPr>
                <w:rFonts w:hint="eastAsia"/>
              </w:rPr>
              <w:t>高新处</w:t>
            </w:r>
          </w:p>
          <w:p>
            <w:pPr>
              <w:jc w:val="center"/>
            </w:pPr>
            <w:r>
              <w:rPr>
                <w:rFonts w:hint="eastAsia"/>
              </w:rPr>
              <w:t>农村处</w:t>
            </w:r>
          </w:p>
          <w:p>
            <w:pPr>
              <w:jc w:val="center"/>
            </w:pPr>
            <w:r>
              <w:rPr>
                <w:rFonts w:hint="eastAsia"/>
              </w:rPr>
              <w:t>社发处</w:t>
            </w:r>
          </w:p>
          <w:p>
            <w:pPr>
              <w:jc w:val="center"/>
            </w:pPr>
            <w:r>
              <w:rPr>
                <w:rFonts w:hint="eastAsia"/>
              </w:rPr>
              <w:t>海洋处</w:t>
            </w:r>
          </w:p>
        </w:tc>
        <w:tc>
          <w:tcPr>
            <w:tcW w:w="1188" w:type="dxa"/>
            <w:vMerge w:val="restart"/>
          </w:tcPr>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trPr>
        <w:tc>
          <w:tcPr>
            <w:tcW w:w="720" w:type="dxa"/>
            <w:vMerge w:val="continue"/>
            <w:vAlign w:val="center"/>
          </w:tcPr>
          <w:p>
            <w:pPr>
              <w:jc w:val="center"/>
            </w:pPr>
          </w:p>
        </w:tc>
        <w:tc>
          <w:tcPr>
            <w:tcW w:w="3622" w:type="dxa"/>
            <w:vMerge w:val="continue"/>
            <w:vAlign w:val="center"/>
          </w:tcPr>
          <w:p/>
        </w:tc>
        <w:tc>
          <w:tcPr>
            <w:tcW w:w="1240" w:type="dxa"/>
            <w:vMerge w:val="continue"/>
            <w:vAlign w:val="center"/>
          </w:tcPr>
          <w:p>
            <w:pPr>
              <w:jc w:val="center"/>
              <w:rPr>
                <w:rFonts w:ascii="黑体" w:hAnsi="黑体" w:eastAsia="黑体" w:cs="黑体"/>
                <w:sz w:val="30"/>
                <w:szCs w:val="30"/>
              </w:rPr>
            </w:pPr>
          </w:p>
        </w:tc>
        <w:tc>
          <w:tcPr>
            <w:tcW w:w="2464" w:type="dxa"/>
          </w:tcPr>
          <w:p>
            <w:pPr>
              <w:ind w:firstLine="420" w:firstLineChars="200"/>
            </w:pPr>
            <w:r>
              <w:rPr>
                <w:rFonts w:hint="eastAsia"/>
              </w:rPr>
              <w:t>2.认真完成省自然基金的各项评审立项工作。</w:t>
            </w:r>
          </w:p>
        </w:tc>
        <w:tc>
          <w:tcPr>
            <w:tcW w:w="4253" w:type="dxa"/>
            <w:vMerge w:val="continue"/>
            <w:vAlign w:val="center"/>
          </w:tcPr>
          <w:p>
            <w:pPr>
              <w:ind w:firstLine="420" w:firstLineChars="200"/>
            </w:pPr>
          </w:p>
        </w:tc>
        <w:tc>
          <w:tcPr>
            <w:tcW w:w="1276" w:type="dxa"/>
            <w:vMerge w:val="continue"/>
            <w:vAlign w:val="center"/>
          </w:tcPr>
          <w:p>
            <w:pPr>
              <w:jc w:val="center"/>
            </w:pPr>
          </w:p>
        </w:tc>
        <w:tc>
          <w:tcPr>
            <w:tcW w:w="1188" w:type="dxa"/>
            <w:vMerge w:val="continue"/>
          </w:tcPr>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center"/>
          </w:tcPr>
          <w:p>
            <w:pPr>
              <w:jc w:val="center"/>
              <w:rPr>
                <w:rFonts w:ascii="黑体" w:hAnsi="黑体" w:eastAsia="黑体" w:cs="黑体"/>
                <w:sz w:val="30"/>
                <w:szCs w:val="30"/>
              </w:rPr>
            </w:pPr>
            <w:r>
              <w:rPr>
                <w:rFonts w:hint="eastAsia"/>
              </w:rPr>
              <w:t>120</w:t>
            </w:r>
          </w:p>
        </w:tc>
        <w:tc>
          <w:tcPr>
            <w:tcW w:w="3622" w:type="dxa"/>
            <w:vAlign w:val="center"/>
          </w:tcPr>
          <w:p>
            <w:pPr>
              <w:rPr>
                <w:rFonts w:ascii="黑体" w:hAnsi="黑体" w:eastAsia="黑体" w:cs="黑体"/>
                <w:sz w:val="30"/>
                <w:szCs w:val="30"/>
              </w:rPr>
            </w:pPr>
            <w:r>
              <w:rPr>
                <w:rFonts w:hint="eastAsia"/>
              </w:rPr>
              <w:t>积极推动青岛海洋科学与技术国家实验室正式入列，建设好中科院海洋大科学研究中心，推进国家高速列车中心建设，加快建设齐鲁科创大走廊，新增10家以上国家级创新平台、200家以上省级创新平台。</w:t>
            </w:r>
          </w:p>
        </w:tc>
        <w:tc>
          <w:tcPr>
            <w:tcW w:w="1240" w:type="dxa"/>
            <w:vAlign w:val="center"/>
          </w:tcPr>
          <w:p>
            <w:pPr>
              <w:rPr>
                <w:rFonts w:ascii="黑体" w:hAnsi="黑体" w:eastAsia="黑体" w:cs="黑体"/>
                <w:sz w:val="30"/>
                <w:szCs w:val="30"/>
              </w:rPr>
            </w:pPr>
          </w:p>
        </w:tc>
        <w:tc>
          <w:tcPr>
            <w:tcW w:w="2464" w:type="dxa"/>
          </w:tcPr>
          <w:p>
            <w:pPr>
              <w:rPr>
                <w:rFonts w:ascii="黑体" w:hAnsi="黑体" w:eastAsia="黑体" w:cs="黑体"/>
              </w:rPr>
            </w:pPr>
          </w:p>
        </w:tc>
        <w:tc>
          <w:tcPr>
            <w:tcW w:w="4253" w:type="dxa"/>
            <w:vAlign w:val="center"/>
          </w:tcPr>
          <w:p>
            <w:pPr>
              <w:rPr>
                <w:rFonts w:ascii="黑体" w:hAnsi="黑体" w:eastAsia="黑体" w:cs="黑体"/>
              </w:rPr>
            </w:pPr>
            <w:r>
              <w:rPr>
                <w:rFonts w:hint="eastAsia" w:ascii="黑体" w:hAnsi="黑体" w:eastAsia="黑体" w:cs="黑体"/>
              </w:rPr>
              <w:t>一、青岛海洋科学与技术国家实验室建设。</w:t>
            </w:r>
          </w:p>
          <w:p>
            <w:pPr>
              <w:ind w:firstLine="440" w:firstLineChars="200"/>
              <w:rPr>
                <w:rFonts w:ascii="宋体" w:hAnsi="宋体" w:eastAsia="宋体" w:cs="宋体"/>
                <w:kern w:val="0"/>
                <w:sz w:val="22"/>
                <w:szCs w:val="22"/>
              </w:rPr>
            </w:pPr>
            <w:r>
              <w:rPr>
                <w:rFonts w:hint="eastAsia" w:ascii="宋体" w:hAnsi="宋体" w:eastAsia="宋体" w:cs="宋体"/>
                <w:kern w:val="0"/>
                <w:sz w:val="22"/>
                <w:szCs w:val="22"/>
              </w:rPr>
              <w:t>2月24日，于杰副省长主持召开推进海洋试点国家实验室入列工作会议，会上指出海洋试点国家实验室入列主要面临的五个问题，要求海洋试点国家实验室要强化内部建设，五家常务理事单位要主动衔接。</w:t>
            </w:r>
          </w:p>
          <w:p>
            <w:pPr>
              <w:ind w:firstLine="440" w:firstLineChars="200"/>
            </w:pPr>
            <w:r>
              <w:rPr>
                <w:rFonts w:hint="eastAsia" w:ascii="宋体" w:hAnsi="宋体" w:eastAsia="宋体" w:cs="宋体"/>
                <w:kern w:val="0"/>
                <w:sz w:val="22"/>
                <w:szCs w:val="22"/>
              </w:rPr>
              <w:t>科技厅</w:t>
            </w:r>
            <w:r>
              <w:rPr>
                <w:rFonts w:hint="eastAsia"/>
              </w:rPr>
              <w:t>根据国家实验室建设有关要求对《关于支持建设青岛海洋科学与技术试点国家实验室的意见（代拟稿）》做进一步的完善修改，报省政府和领导小组审定。针对国家实验室的组织构架和运行机制，展开调研；指导海洋试点国家实验室编制《海洋国家实验室组建方案》《青岛海洋科学与技术试点国家实验室发展规划（2018—2030年）》，同时，指导海洋试点国家实验室编制，并呈报科技部。</w:t>
            </w:r>
          </w:p>
          <w:p>
            <w:pPr>
              <w:ind w:firstLine="420" w:firstLineChars="200"/>
            </w:pPr>
            <w:r>
              <w:rPr>
                <w:rFonts w:hint="eastAsia"/>
              </w:rPr>
              <w:t>省科技厅领导陪同科技部重大专项司司长陈传宏，南开大学校长曹雪涛院士，中国农业科学院副院长万建民院士等高校和科研院所成员组成的面向2035年国家科技创新战略需求调研组，到访海洋试点国家实验室，就国内外科技发展态势和需求展开调研。</w:t>
            </w:r>
          </w:p>
          <w:p>
            <w:pPr>
              <w:ind w:firstLine="420" w:firstLineChars="200"/>
            </w:pPr>
            <w:r>
              <w:rPr>
                <w:rFonts w:hint="eastAsia"/>
              </w:rPr>
              <w:t>积极向科技部争取超算升级项目，科技部下达立项通知，超算升级项目落户海洋试点国家实验室；向科技部积极争取将“透明海洋”“蓝色药库”等项目纳入国家重点研发计划，科技部反馈将根据《国家重点研发计划管理暂行办法》，结合“十四五”有关规划部署，商有关方面统筹推进。</w:t>
            </w:r>
          </w:p>
          <w:p>
            <w:pPr>
              <w:ind w:firstLine="420" w:firstLineChars="200"/>
            </w:pPr>
            <w:r>
              <w:rPr>
                <w:rFonts w:hint="eastAsia"/>
              </w:rPr>
              <w:t>拨付重大科技专项资金和重大科研平台建设资金6亿元，支持海洋试点国家实验室开展“透明海洋”等5大科技专项实施和“海洋大科学研究中心”等5个重大科研平台建设。</w:t>
            </w:r>
          </w:p>
          <w:p>
            <w:pPr>
              <w:rPr>
                <w:rFonts w:ascii="黑体" w:hAnsi="黑体" w:eastAsia="黑体" w:cs="黑体"/>
              </w:rPr>
            </w:pPr>
            <w:r>
              <w:rPr>
                <w:rFonts w:hint="eastAsia" w:ascii="黑体" w:hAnsi="黑体" w:eastAsia="黑体" w:cs="黑体"/>
              </w:rPr>
              <w:t>二、中科院海洋大科学研究中心建设</w:t>
            </w:r>
          </w:p>
          <w:p>
            <w:pPr>
              <w:ind w:firstLine="420" w:firstLineChars="200"/>
            </w:pPr>
            <w:r>
              <w:rPr>
                <w:rFonts w:hint="eastAsia"/>
              </w:rPr>
              <w:t>完成了《中国科学院海洋大科学研究中心建设方案》和《中国科学院海洋大科学研究中心面向2030年的发展规划》的编制工作，并在2018年12月召开的中心第一届科学技术委员会上审议通过；</w:t>
            </w:r>
            <w:r>
              <w:rPr>
                <w:rFonts w:hint="eastAsia" w:ascii="宋体" w:hAnsi="宋体" w:eastAsia="宋体" w:cs="宋体"/>
                <w:kern w:val="0"/>
                <w:sz w:val="22"/>
                <w:szCs w:val="22"/>
              </w:rPr>
              <w:t>5月28日，召开中科院海洋大科学研究中心第一届理事会第二次会议，公布理事会成员名单；</w:t>
            </w:r>
            <w:r>
              <w:rPr>
                <w:rFonts w:hint="eastAsia"/>
              </w:rPr>
              <w:t>协商成立了部省市共建中国科学院海洋大科学研究中心领导小组，并由省政府、中科学联合印发《山东省人民政府办公厅 中国科学院办公厅 关于成立中国科学院海洋大科学研究中心工作推进小组的通知》（鲁政办字〔2019〕112号）；</w:t>
            </w:r>
            <w:r>
              <w:rPr>
                <w:rFonts w:hint="eastAsia" w:ascii="宋体" w:hAnsi="宋体" w:eastAsia="宋体" w:cs="宋体"/>
                <w:kern w:val="0"/>
                <w:sz w:val="22"/>
                <w:szCs w:val="22"/>
              </w:rPr>
              <w:t>6月17日，</w:t>
            </w:r>
            <w:r>
              <w:rPr>
                <w:rFonts w:hint="eastAsia"/>
              </w:rPr>
              <w:t>中科院、山东省、青岛市三方领导于6月17日召开的院士恳谈会上签署了《中国科学院 山东省人民政府 青岛市人民政府 共建中国科学院海洋大科学研究中心协议书》</w:t>
            </w:r>
            <w:r>
              <w:rPr>
                <w:rFonts w:hint="eastAsia" w:ascii="宋体" w:hAnsi="宋体" w:eastAsia="宋体" w:cs="宋体"/>
                <w:kern w:val="0"/>
                <w:sz w:val="22"/>
                <w:szCs w:val="22"/>
              </w:rPr>
              <w:t>。</w:t>
            </w:r>
            <w:r>
              <w:rPr>
                <w:rFonts w:hint="eastAsia"/>
              </w:rPr>
              <w:t>省财政厅已拨付2018年专项海洋科技资金。目前，重大科研平台建设资金2亿元经费已拨付至中科院海洋所。</w:t>
            </w:r>
          </w:p>
          <w:p>
            <w:pPr>
              <w:ind w:firstLine="440" w:firstLineChars="200"/>
            </w:pPr>
            <w:r>
              <w:rPr>
                <w:rFonts w:hint="eastAsia" w:ascii="宋体" w:hAnsi="宋体" w:eastAsia="宋体" w:cs="宋体"/>
                <w:kern w:val="0"/>
                <w:sz w:val="22"/>
                <w:szCs w:val="22"/>
              </w:rPr>
              <w:t>目前统筹运行了中科院9条海洋科考船，“四船三地”实施渤海、黄海、长江口及珠江口海域多学科综合性调查，为“健康海洋”研究提供数据支撑。海洋大型仪器区域中心在2018年中央级科研仪器设备开放共享评价考核中获评优秀。启动了海洋人工智能与大数据协同创新、水下探测设备研发等4个新增平台的建设工作，加快打造深海工程装备、近海环境监测技术等7个交叉研发集群。依托设施集群，整合凝聚中科院海洋、生命、能源、资环、高技术等领域优势研究团队，发起“丝路方舟”大科学计划，牵头承担“健康海洋”、“三维信息海洋”、“深海生命演化”等中科院A类先导专项。依托优质创新平台，与中海辉固地学服务（深圳）有限公司、上海中车SMD公司、挪威安德拉仪器公司共建水下机器人技术支持与服务中心。在青岛、烟台、威海、东营、滨州等山东沿海地市开展需求对接和中心成果推介，现已签署了7份合作协议并达成26项合作意向。中科院青岛科教园的教学区已主体全部封顶，科研区主体完成60%。</w:t>
            </w:r>
          </w:p>
          <w:p>
            <w:pPr>
              <w:rPr>
                <w:rFonts w:ascii="黑体" w:hAnsi="黑体" w:eastAsia="黑体" w:cs="黑体"/>
              </w:rPr>
            </w:pPr>
            <w:r>
              <w:rPr>
                <w:rFonts w:hint="eastAsia" w:ascii="黑体" w:hAnsi="黑体" w:eastAsia="黑体" w:cs="黑体"/>
              </w:rPr>
              <w:t>三、国家高速列车技术创新中心建设</w:t>
            </w:r>
          </w:p>
          <w:p>
            <w:pPr>
              <w:ind w:firstLine="440" w:firstLineChars="200"/>
              <w:rPr>
                <w:rFonts w:ascii="宋体" w:hAnsi="宋体" w:eastAsia="宋体" w:cs="宋体"/>
                <w:kern w:val="0"/>
                <w:sz w:val="22"/>
                <w:szCs w:val="22"/>
              </w:rPr>
            </w:pPr>
            <w:r>
              <w:rPr>
                <w:rFonts w:hint="eastAsia" w:ascii="宋体" w:hAnsi="宋体" w:cs="宋体"/>
                <w:kern w:val="0"/>
                <w:sz w:val="22"/>
                <w:szCs w:val="22"/>
              </w:rPr>
              <w:t>青岛</w:t>
            </w:r>
            <w:r>
              <w:rPr>
                <w:rFonts w:hint="eastAsia" w:ascii="宋体" w:hAnsi="宋体" w:eastAsia="宋体" w:cs="宋体"/>
                <w:kern w:val="0"/>
                <w:sz w:val="22"/>
                <w:szCs w:val="22"/>
              </w:rPr>
              <w:t>市与中车集团成立双方主要领导任组长的联合领导小组，研究解决建设的重点和难点问题，签署了共建实施协议，进一步明确各方责权；青岛市设立青岛轨道交通产业示范区管理委员会，服务保障创新中心建设；创新中心事业法人单位已成立，理事会、全球战略咨询委员会已组建；首批签约入驻项目开工建设，其中，轨道交通车辆系统集成国家工程实验室、高速磁浮实验中心、高速磁浮试制中心主体及外观已于今年6月全部完工；开展科技计划管理改革试点，青岛市拟给予创新中心3000万元资金支持由其自主选项开展研发，已于今年8月8日经青岛市科创委会议审议通过；开展招商引智，与德国德累斯顿大学、德国蒂森克虏伯公司、中国航发北京航材院、哈尔滨焊接研究所等单位开展合作。</w:t>
            </w:r>
          </w:p>
          <w:p>
            <w:pPr>
              <w:ind w:firstLine="420" w:firstLineChars="200"/>
            </w:pPr>
            <w:r>
              <w:rPr>
                <w:rFonts w:hint="eastAsia"/>
              </w:rPr>
              <w:t>5月，时速600公里磁悬浮列车样车下线，标志着我国在高速列车领域取得重大突破。</w:t>
            </w:r>
          </w:p>
          <w:p>
            <w:pPr>
              <w:rPr>
                <w:rFonts w:ascii="黑体" w:hAnsi="黑体" w:eastAsia="黑体" w:cs="黑体"/>
              </w:rPr>
            </w:pPr>
            <w:r>
              <w:rPr>
                <w:rFonts w:hint="eastAsia" w:ascii="黑体" w:hAnsi="黑体" w:eastAsia="黑体" w:cs="黑体"/>
              </w:rPr>
              <w:t>四、齐鲁科创大走廊建设</w:t>
            </w:r>
          </w:p>
          <w:p>
            <w:pPr>
              <w:ind w:firstLine="420" w:firstLineChars="200"/>
            </w:pPr>
            <w:r>
              <w:rPr>
                <w:rFonts w:hint="eastAsia"/>
              </w:rPr>
              <w:t>济南市进行了齐鲁科创大走廊的初步规划，参照杭州城西科创走廊模式，委托杭州市城市规划设计研究院编制完成《齐鲁科创大走廊规划》草案。获批省级工程实验室48家，其中依托驻济企业建设12家、依托省属企业及高校院所36家；申报省级技术创新中心89家。</w:t>
            </w:r>
          </w:p>
          <w:p>
            <w:pPr>
              <w:rPr>
                <w:rFonts w:ascii="黑体" w:hAnsi="黑体" w:eastAsia="黑体" w:cs="黑体"/>
              </w:rPr>
            </w:pPr>
            <w:r>
              <w:rPr>
                <w:rFonts w:hint="eastAsia" w:ascii="黑体" w:hAnsi="黑体" w:eastAsia="黑体" w:cs="黑体"/>
              </w:rPr>
              <w:t>五、加快省级创新平台布局，争创国家创新平台</w:t>
            </w:r>
          </w:p>
          <w:p>
            <w:pPr>
              <w:ind w:firstLine="420" w:firstLineChars="200"/>
            </w:pPr>
            <w:r>
              <w:rPr>
                <w:rFonts w:hint="eastAsia"/>
              </w:rPr>
              <w:t>围绕建设齐鲁科创大走廊，科技厅积极推动浪潮集团人工智能省级技术创新中心落地济南，全年力争新增技术创新中心、重点实验室等省级以上各类创新平台22家。当前，已完成方案制定、组织申报、专家评审等工作，下步将围绕我省新旧动能转换重点产业领域，加快布局建设一批技术创新中心。</w:t>
            </w:r>
          </w:p>
          <w:p>
            <w:r>
              <w:rPr>
                <w:rFonts w:hint="eastAsia"/>
              </w:rPr>
              <w:t xml:space="preserve">    积极争取建成黄河三角洲现代农业技术创新中心等1-2家国家技术创新中心，实现国家临床医学研究中心建设零的突破。当前，已将黄河三角洲现代农业技术创新中心争创国家技术创新中心事项列入部省会商建议议题。</w:t>
            </w:r>
          </w:p>
          <w:p>
            <w:pPr>
              <w:ind w:firstLine="420"/>
            </w:pPr>
            <w:r>
              <w:rPr>
                <w:rFonts w:hint="eastAsia"/>
              </w:rPr>
              <w:t>已制定省技术创新中心工作方案，组织有关单位申报省技术创新中心。研究制定了量化评价指标体系，组织专家进行评审论证和现场考察。下一步切实加快推进省级技术创新中心建设进度。</w:t>
            </w:r>
          </w:p>
          <w:p>
            <w:pPr>
              <w:ind w:firstLine="420" w:firstLineChars="200"/>
            </w:pPr>
            <w:r>
              <w:rPr>
                <w:rFonts w:hint="eastAsia"/>
              </w:rPr>
              <w:t>当前，国家正在优化重组国家重点实验室体系，我省将根据国家重点实验室体系做出相应调整，调整后再启动省重点实验室建设。现在正积极做好相关准备工作。已制定省技术创新中心工作方案，组织有关单位申报省技术创新中心。研究制定了量化评价指标体系，组织专家进行评审论证和现场考察。下一步切实加快推进省级技术创新中心建设进度。</w:t>
            </w:r>
          </w:p>
          <w:p>
            <w:pPr>
              <w:ind w:firstLine="420" w:firstLineChars="200"/>
            </w:pPr>
            <w:r>
              <w:rPr>
                <w:rFonts w:hint="eastAsia"/>
              </w:rPr>
              <w:t>积极争取豪迈科技、唐骏欧玲等8家企业技术中心认定为第25批国家企业技术中心，新增新能源与高效节能等6家国家地方联合工程研究中心；面向新旧动能转换“十强”产业和战略性新兴产业重点领域，新培育认定200家省级工程实验室（研究中心）；批复浪潮集团牵头组建省级云计算装备产业创新中心。下一步，认定发布2019年省级企业技术中心，配合国家开展好国家企业技术中心评价等工作。</w:t>
            </w:r>
          </w:p>
        </w:tc>
        <w:tc>
          <w:tcPr>
            <w:tcW w:w="1276" w:type="dxa"/>
          </w:tcPr>
          <w:p>
            <w:pPr>
              <w:rPr>
                <w:rFonts w:ascii="黑体" w:hAnsi="黑体" w:eastAsia="黑体" w:cs="黑体"/>
              </w:rPr>
            </w:pPr>
          </w:p>
        </w:tc>
        <w:tc>
          <w:tcPr>
            <w:tcW w:w="1188" w:type="dxa"/>
          </w:tcPr>
          <w:p>
            <w:pP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720" w:type="dxa"/>
            <w:vAlign w:val="center"/>
          </w:tcPr>
          <w:p>
            <w:pPr>
              <w:jc w:val="center"/>
              <w:rPr>
                <w:rFonts w:ascii="黑体" w:hAnsi="黑体" w:eastAsia="黑体" w:cs="黑体"/>
                <w:sz w:val="30"/>
                <w:szCs w:val="30"/>
              </w:rPr>
            </w:pPr>
            <w:r>
              <w:rPr>
                <w:rFonts w:hint="eastAsia"/>
              </w:rPr>
              <w:t>121</w:t>
            </w:r>
          </w:p>
        </w:tc>
        <w:tc>
          <w:tcPr>
            <w:tcW w:w="3622" w:type="dxa"/>
            <w:vAlign w:val="center"/>
          </w:tcPr>
          <w:p>
            <w:pPr>
              <w:rPr>
                <w:rFonts w:ascii="黑体" w:hAnsi="黑体" w:eastAsia="黑体" w:cs="黑体"/>
                <w:sz w:val="30"/>
                <w:szCs w:val="30"/>
              </w:rPr>
            </w:pPr>
            <w:r>
              <w:rPr>
                <w:rFonts w:hint="eastAsia"/>
              </w:rPr>
              <w:t>积极争取若干国家大科学装置和重大科研基础设施落户我省。</w:t>
            </w:r>
          </w:p>
        </w:tc>
        <w:tc>
          <w:tcPr>
            <w:tcW w:w="1240" w:type="dxa"/>
            <w:vAlign w:val="center"/>
          </w:tcPr>
          <w:p>
            <w:pPr>
              <w:rPr>
                <w:rFonts w:ascii="黑体" w:hAnsi="黑体" w:eastAsia="黑体" w:cs="黑体"/>
                <w:sz w:val="30"/>
                <w:szCs w:val="30"/>
              </w:rPr>
            </w:pPr>
          </w:p>
        </w:tc>
        <w:tc>
          <w:tcPr>
            <w:tcW w:w="2464" w:type="dxa"/>
            <w:vAlign w:val="center"/>
          </w:tcPr>
          <w:p>
            <w:pPr>
              <w:ind w:firstLine="420" w:firstLineChars="200"/>
              <w:jc w:val="center"/>
            </w:pPr>
            <w:r>
              <w:rPr>
                <w:rFonts w:hint="eastAsia"/>
              </w:rPr>
              <w:t>1.协调做好超级计算机项目、海上综合试验场等重大平台建设工作，积极向科技部汇报，争取国家大科学装置和重大科研基础设施落户我省。</w:t>
            </w:r>
          </w:p>
        </w:tc>
        <w:tc>
          <w:tcPr>
            <w:tcW w:w="4253" w:type="dxa"/>
            <w:vAlign w:val="center"/>
          </w:tcPr>
          <w:p>
            <w:pPr>
              <w:ind w:firstLine="420" w:firstLineChars="200"/>
            </w:pPr>
            <w:r>
              <w:rPr>
                <w:rFonts w:hint="eastAsia"/>
              </w:rPr>
              <w:t>1.济南市确定了到2020年将济南打造成为全国重要的区域性科技创新中心的目标，计划积极对接国家大科学计划、大科学装置的建设实施，高标准建设一批国家重点实验室等重大科技平台，将省会特色优势上升为国家战略布局。青岛市学习借鉴国内外知名科技创新中心经验做法，于2019年3月发起了“科技引领城建设攻势”，提出打造“长江以北科技创新高地”，形成国家实验室、大科学装置、重大创新平台等一批国家级战略科技力量，重点发展现代海洋、智能制造、新一代信息技术等传统优势领域，充分发挥已聚集在青岛的众多国家级科研机构优势，超前布局海洋系统模拟、吸气式（航空）发动机热物理试验装置等一批重大科技基础设施集群。中科院工程热物理所青岛航空技术研究院自2015年起，在青岛西海岸新区古镇口军民融合创新示范区建成了国内首座20km高空轻型航空发动机整机试验台，面向行业开展航空发动机高空试验，特别是为国家“两机重大科技专项”基础研究提供了试验保障，具备了争取建设“吸气式发动机热物理试验装置”国家重大科技基础设施的初步条件。</w:t>
            </w:r>
          </w:p>
          <w:p>
            <w:pPr>
              <w:ind w:firstLine="420" w:firstLineChars="200"/>
            </w:pPr>
            <w:r>
              <w:rPr>
                <w:rFonts w:hint="eastAsia"/>
              </w:rPr>
              <w:t>2.积极支持新一代神威Ｅ级原型机系统在天气气候、海洋环境、材料科学、生物医药等十多个领域的应用，为国家在“十三五”末布局百亿亿次超级计算机，从核心芯片、核心系统软件和应用软件等方面进行全面的技术验证。</w:t>
            </w:r>
          </w:p>
          <w:p>
            <w:pPr>
              <w:ind w:firstLine="420" w:firstLineChars="200"/>
            </w:pPr>
            <w:r>
              <w:rPr>
                <w:rFonts w:hint="eastAsia"/>
              </w:rPr>
              <w:t>3.省科技厅积极向科技部汇报争取，2019年3月科技部高技术研究中心发布立项通知（国科高发计字〔2019〕9号），确定项目落户海洋试点国家实验室；积极向科技部争取超算升级项目，科技部下达立项通知，超算升级项目落户海洋试点国家实验室，同时，对超算升级项目任务书进行审核后递交科技部；省科技厅与财政厅、省科学院、青岛市就建立“业主委员会”“运维委员会”和“用户委员会”等事宜进行了多次磋商，提出借鉴国内其他超算平台经验，由山东省、青岛市、海洋试点国家实验室和省科学院共同研究制定政府协调和市场化运作相结合的平台运维方案，现正征求各相关部门单位的意见；3月8日，省科技厅会同财政厅、审计厅、青岛市科技局等单位，召开了由王恩东院士担任组长的专家咨询会，对项目总体方案、技术路线和经费预算等进行了研究；根据省政府专题会议精神，省科技厅形成了《关于超级计算机升级工程地方配套研制经费有关情况的报告》，并于5月10日报送省政府；会同财政厅、青岛市，制定超算升级项目经费拨付方案，目前经费已拨付至青岛市。</w:t>
            </w:r>
          </w:p>
          <w:p>
            <w:pPr>
              <w:ind w:firstLine="440" w:firstLineChars="200"/>
            </w:pPr>
            <w:r>
              <w:rPr>
                <w:rFonts w:hint="eastAsia" w:ascii="宋体" w:hAnsi="宋体" w:eastAsia="宋体" w:cs="宋体"/>
                <w:kern w:val="0"/>
                <w:sz w:val="22"/>
                <w:szCs w:val="22"/>
              </w:rPr>
              <w:t>4.中科院工程热物理所于2018年6月启动了“十四五”国家重大科技基础设施项目“航空发动机热物理试验装置”筹划申请工作。依托青岛市与中科院工程热物理所共建的青岛航空技术研究院，进行了设施的前期预研，充分考虑设施的可扩展性。目前经过中科院两轮院内评审，在19个备选推荐项目中位于前列，将于近期向国家发改委正式推荐。</w:t>
            </w:r>
          </w:p>
        </w:tc>
        <w:tc>
          <w:tcPr>
            <w:tcW w:w="1276" w:type="dxa"/>
            <w:vAlign w:val="center"/>
          </w:tcPr>
          <w:p>
            <w:pPr>
              <w:jc w:val="center"/>
            </w:pPr>
            <w:r>
              <w:rPr>
                <w:rFonts w:hint="eastAsia"/>
              </w:rPr>
              <w:t>基础处</w:t>
            </w:r>
          </w:p>
          <w:p>
            <w:pPr>
              <w:jc w:val="center"/>
            </w:pPr>
            <w:r>
              <w:rPr>
                <w:rFonts w:hint="eastAsia"/>
              </w:rPr>
              <w:t>高新处</w:t>
            </w:r>
          </w:p>
          <w:p>
            <w:pPr>
              <w:jc w:val="center"/>
            </w:pPr>
            <w:r>
              <w:rPr>
                <w:rFonts w:hint="eastAsia"/>
              </w:rPr>
              <w:t>农村处</w:t>
            </w:r>
          </w:p>
          <w:p>
            <w:pPr>
              <w:jc w:val="center"/>
            </w:pPr>
            <w:r>
              <w:rPr>
                <w:rFonts w:hint="eastAsia"/>
              </w:rPr>
              <w:t>社发处</w:t>
            </w:r>
          </w:p>
          <w:p>
            <w:pPr>
              <w:jc w:val="center"/>
            </w:pPr>
            <w:r>
              <w:rPr>
                <w:rFonts w:hint="eastAsia"/>
              </w:rPr>
              <w:t>海洋处</w:t>
            </w:r>
          </w:p>
          <w:p>
            <w:pPr>
              <w:jc w:val="center"/>
            </w:pPr>
            <w:r>
              <w:rPr>
                <w:rFonts w:hint="eastAsia"/>
              </w:rPr>
              <w:t>合作处</w:t>
            </w:r>
          </w:p>
          <w:p>
            <w:pPr>
              <w:jc w:val="center"/>
            </w:pPr>
            <w:r>
              <w:rPr>
                <w:rFonts w:hint="eastAsia"/>
              </w:rPr>
              <w:t>规划处</w:t>
            </w:r>
          </w:p>
        </w:tc>
        <w:tc>
          <w:tcPr>
            <w:tcW w:w="1188" w:type="dxa"/>
          </w:tcPr>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trPr>
        <w:tc>
          <w:tcPr>
            <w:tcW w:w="720" w:type="dxa"/>
            <w:vMerge w:val="restart"/>
            <w:vAlign w:val="center"/>
          </w:tcPr>
          <w:p>
            <w:pPr>
              <w:jc w:val="center"/>
              <w:rPr>
                <w:rFonts w:ascii="黑体" w:hAnsi="黑体" w:eastAsia="黑体" w:cs="黑体"/>
                <w:sz w:val="30"/>
                <w:szCs w:val="30"/>
              </w:rPr>
            </w:pPr>
            <w:r>
              <w:rPr>
                <w:rFonts w:hint="eastAsia"/>
              </w:rPr>
              <w:t>122</w:t>
            </w:r>
          </w:p>
        </w:tc>
        <w:tc>
          <w:tcPr>
            <w:tcW w:w="3622" w:type="dxa"/>
            <w:vMerge w:val="restart"/>
            <w:vAlign w:val="center"/>
          </w:tcPr>
          <w:p>
            <w:pPr>
              <w:rPr>
                <w:rFonts w:ascii="黑体" w:hAnsi="黑体" w:eastAsia="黑体" w:cs="黑体"/>
                <w:sz w:val="30"/>
                <w:szCs w:val="30"/>
              </w:rPr>
            </w:pPr>
            <w:r>
              <w:rPr>
                <w:rFonts w:hint="eastAsia"/>
              </w:rPr>
              <w:t>建设国家量子信息技术实验室济南基地，争创国家量子大科学中心。</w:t>
            </w:r>
          </w:p>
        </w:tc>
        <w:tc>
          <w:tcPr>
            <w:tcW w:w="1240" w:type="dxa"/>
            <w:vMerge w:val="restart"/>
            <w:vAlign w:val="center"/>
          </w:tcPr>
          <w:p>
            <w:pPr>
              <w:rPr>
                <w:rFonts w:ascii="黑体" w:hAnsi="黑体" w:eastAsia="黑体" w:cs="黑体"/>
                <w:sz w:val="30"/>
                <w:szCs w:val="30"/>
              </w:rPr>
            </w:pPr>
          </w:p>
        </w:tc>
        <w:tc>
          <w:tcPr>
            <w:tcW w:w="2464" w:type="dxa"/>
          </w:tcPr>
          <w:p>
            <w:pPr>
              <w:ind w:firstLine="525" w:firstLineChars="250"/>
            </w:pPr>
            <w:r>
              <w:rPr>
                <w:rFonts w:hint="eastAsia"/>
              </w:rPr>
              <w:t>1.推动中科大将济南基地作为国家量子信息技术实验室创建的重要内容，支持济南基地加快六大研究平台建设。</w:t>
            </w:r>
          </w:p>
        </w:tc>
        <w:tc>
          <w:tcPr>
            <w:tcW w:w="4253" w:type="dxa"/>
            <w:vMerge w:val="restart"/>
            <w:vAlign w:val="center"/>
          </w:tcPr>
          <w:p>
            <w:pPr>
              <w:ind w:firstLine="420" w:firstLineChars="200"/>
            </w:pPr>
            <w:r>
              <w:rPr>
                <w:rFonts w:hint="eastAsia"/>
              </w:rPr>
              <w:t>1.以济南量子技术研究院理事会为纽带，加强与中科大、清华大学、科大国盾等的合作，支持济南量子技术研究院作为量子信息科学国家实验室济南基地（筹）的承接主体。</w:t>
            </w:r>
          </w:p>
          <w:p>
            <w:pPr>
              <w:ind w:firstLine="420" w:firstLineChars="200"/>
            </w:pPr>
            <w:r>
              <w:rPr>
                <w:rFonts w:hint="eastAsia"/>
              </w:rPr>
              <w:t>2.加强济南量子技术研究院创新载体和科研能力建设。当前，济南量子技术研究院正在建设通信研究与测试、若干量子技术核心器件研究、量子精密测量研究、量子计算研究、量子技术标准研究和军民融合发展研究六大平台；其申报的省重点实验室和技术创新中心正在评审中，省重大创新工程项目刚刚进行完现场考察。</w:t>
            </w:r>
          </w:p>
          <w:p>
            <w:pPr>
              <w:ind w:firstLine="420" w:firstLineChars="200"/>
            </w:pPr>
            <w:r>
              <w:rPr>
                <w:rFonts w:hint="eastAsia"/>
              </w:rPr>
              <w:t>3.加强济南量子技术研究院自身组织和制度建设，完善组织机构、规章制度和人才引进政策。</w:t>
            </w:r>
          </w:p>
          <w:p>
            <w:r>
              <w:rPr>
                <w:rFonts w:hint="eastAsia"/>
              </w:rPr>
              <w:t xml:space="preserve">    4.制定出台了《济南量子信息科学中心建设发展规划》、《济南市量子信息产业发展规划(2019-2022年)》；全球首个量子计算与测量标准化技术委员会在济揭牌；量子信息科学国家实验室（筹）济南基地建设加快推进，全球首套量子激光雷达产品、全球首款使用量子密钥的商用安全加密手机和完全自主知识产权的量子领域核心芯片已在济南研发和生产。</w:t>
            </w:r>
          </w:p>
        </w:tc>
        <w:tc>
          <w:tcPr>
            <w:tcW w:w="1276" w:type="dxa"/>
            <w:vMerge w:val="restart"/>
            <w:vAlign w:val="center"/>
          </w:tcPr>
          <w:p>
            <w:pPr>
              <w:jc w:val="center"/>
            </w:pPr>
            <w:r>
              <w:rPr>
                <w:rFonts w:hint="eastAsia"/>
              </w:rPr>
              <w:t>高新处</w:t>
            </w:r>
          </w:p>
          <w:p>
            <w:pPr>
              <w:jc w:val="center"/>
            </w:pPr>
            <w:r>
              <w:rPr>
                <w:rFonts w:hint="eastAsia"/>
              </w:rPr>
              <w:t>规划处</w:t>
            </w:r>
          </w:p>
          <w:p>
            <w:pPr>
              <w:jc w:val="center"/>
            </w:pPr>
            <w:r>
              <w:rPr>
                <w:rFonts w:hint="eastAsia"/>
              </w:rPr>
              <w:t>信通院</w:t>
            </w:r>
          </w:p>
        </w:tc>
        <w:tc>
          <w:tcPr>
            <w:tcW w:w="1188" w:type="dxa"/>
            <w:vMerge w:val="restart"/>
          </w:tcPr>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trPr>
        <w:tc>
          <w:tcPr>
            <w:tcW w:w="720" w:type="dxa"/>
            <w:vMerge w:val="continue"/>
            <w:vAlign w:val="center"/>
          </w:tcPr>
          <w:p>
            <w:pPr>
              <w:jc w:val="center"/>
            </w:pPr>
          </w:p>
        </w:tc>
        <w:tc>
          <w:tcPr>
            <w:tcW w:w="3622" w:type="dxa"/>
            <w:vMerge w:val="continue"/>
            <w:vAlign w:val="center"/>
          </w:tcPr>
          <w:p/>
        </w:tc>
        <w:tc>
          <w:tcPr>
            <w:tcW w:w="1240" w:type="dxa"/>
            <w:vMerge w:val="continue"/>
            <w:vAlign w:val="center"/>
          </w:tcPr>
          <w:p>
            <w:pPr>
              <w:rPr>
                <w:rFonts w:ascii="黑体" w:hAnsi="黑体" w:eastAsia="黑体" w:cs="黑体"/>
                <w:sz w:val="30"/>
                <w:szCs w:val="30"/>
              </w:rPr>
            </w:pPr>
          </w:p>
        </w:tc>
        <w:tc>
          <w:tcPr>
            <w:tcW w:w="2464" w:type="dxa"/>
          </w:tcPr>
          <w:p>
            <w:pPr>
              <w:ind w:firstLine="420" w:firstLineChars="200"/>
            </w:pPr>
            <w:r>
              <w:rPr>
                <w:rFonts w:hint="eastAsia"/>
              </w:rPr>
              <w:t>2.支持济南基地开展量子技术研发，通过省重点研发计划部署一批量子技术领域的重大科技研发项目并公开发布。</w:t>
            </w:r>
          </w:p>
        </w:tc>
        <w:tc>
          <w:tcPr>
            <w:tcW w:w="4253" w:type="dxa"/>
            <w:vMerge w:val="continue"/>
            <w:vAlign w:val="center"/>
          </w:tcPr>
          <w:p>
            <w:pPr>
              <w:ind w:firstLine="420" w:firstLineChars="200"/>
            </w:pPr>
          </w:p>
        </w:tc>
        <w:tc>
          <w:tcPr>
            <w:tcW w:w="1276" w:type="dxa"/>
            <w:vMerge w:val="continue"/>
            <w:vAlign w:val="center"/>
          </w:tcPr>
          <w:p>
            <w:pPr>
              <w:jc w:val="center"/>
            </w:pPr>
          </w:p>
        </w:tc>
        <w:tc>
          <w:tcPr>
            <w:tcW w:w="1188" w:type="dxa"/>
            <w:vMerge w:val="continue"/>
          </w:tcPr>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720" w:type="dxa"/>
            <w:vMerge w:val="restart"/>
            <w:vAlign w:val="center"/>
          </w:tcPr>
          <w:p>
            <w:pPr>
              <w:jc w:val="center"/>
              <w:rPr>
                <w:rFonts w:ascii="黑体" w:hAnsi="黑体" w:eastAsia="黑体" w:cs="黑体"/>
                <w:sz w:val="30"/>
                <w:szCs w:val="30"/>
              </w:rPr>
            </w:pPr>
            <w:r>
              <w:rPr>
                <w:rFonts w:hint="eastAsia"/>
              </w:rPr>
              <w:t>123</w:t>
            </w:r>
          </w:p>
        </w:tc>
        <w:tc>
          <w:tcPr>
            <w:tcW w:w="3622" w:type="dxa"/>
            <w:vMerge w:val="restart"/>
            <w:vAlign w:val="center"/>
          </w:tcPr>
          <w:p>
            <w:pPr>
              <w:rPr>
                <w:rFonts w:ascii="黑体" w:hAnsi="黑体" w:eastAsia="黑体" w:cs="黑体"/>
                <w:sz w:val="30"/>
                <w:szCs w:val="30"/>
              </w:rPr>
            </w:pPr>
            <w:r>
              <w:rPr>
                <w:rFonts w:hint="eastAsia"/>
              </w:rPr>
              <w:t>加强企业研发机构建设，有创新活动的规模以上工业企业占比提高1-2个百分点。</w:t>
            </w:r>
          </w:p>
        </w:tc>
        <w:tc>
          <w:tcPr>
            <w:tcW w:w="1240" w:type="dxa"/>
            <w:vMerge w:val="restart"/>
            <w:vAlign w:val="center"/>
          </w:tcPr>
          <w:p>
            <w:pPr>
              <w:jc w:val="center"/>
              <w:rPr>
                <w:rFonts w:ascii="黑体" w:hAnsi="黑体" w:eastAsia="黑体" w:cs="黑体"/>
                <w:sz w:val="30"/>
                <w:szCs w:val="30"/>
              </w:rPr>
            </w:pPr>
          </w:p>
        </w:tc>
        <w:tc>
          <w:tcPr>
            <w:tcW w:w="2464" w:type="dxa"/>
          </w:tcPr>
          <w:p>
            <w:pPr>
              <w:ind w:firstLine="420" w:firstLineChars="200"/>
            </w:pPr>
            <w:r>
              <w:rPr>
                <w:rFonts w:hint="eastAsia"/>
              </w:rPr>
              <w:t>1.落实省科技厅《加快推进企业技术研发和服务机构（岗位）建设的指导意见》，发挥市县科技部门的作用，加强企业科技特派员选派工作，加强对辖区科技企业的指导和培训，鼓励企业建设研发机构。</w:t>
            </w:r>
          </w:p>
        </w:tc>
        <w:tc>
          <w:tcPr>
            <w:tcW w:w="4253" w:type="dxa"/>
            <w:vMerge w:val="restart"/>
            <w:vAlign w:val="center"/>
          </w:tcPr>
          <w:p>
            <w:pPr>
              <w:ind w:firstLine="420" w:firstLineChars="200"/>
            </w:pPr>
            <w:r>
              <w:rPr>
                <w:rFonts w:hint="eastAsia"/>
              </w:rPr>
              <w:t>1.按照企业出题，协同攻关原则，组织企业科技特派员与派驻企业聚焦全省新旧动能转换重大领域，围绕行业瓶颈问题、企业创新中的关键技术问题，联合实施重点研发计划（企业科技特派员）项目。2019年度山东省重点研发计划（企业科技特派员）共对58家派驻企业的申报项目进行立项支持，投入省财政补助资金985万元。</w:t>
            </w:r>
          </w:p>
          <w:p>
            <w:pPr>
              <w:ind w:firstLine="420" w:firstLineChars="200"/>
            </w:pPr>
            <w:r>
              <w:rPr>
                <w:rFonts w:hint="eastAsia"/>
              </w:rPr>
              <w:t>2.省市两级财政为2088家企业的研发投入补助8.7亿元，为13976户企业落实研发费加计扣除优惠金额533亿元，引导企业加强科技创新。</w:t>
            </w:r>
          </w:p>
          <w:p>
            <w:pPr>
              <w:ind w:firstLine="420" w:firstLineChars="200"/>
              <w:rPr>
                <w:rFonts w:ascii="黑体" w:hAnsi="黑体" w:eastAsia="黑体" w:cs="黑体"/>
                <w:sz w:val="30"/>
                <w:szCs w:val="30"/>
              </w:rPr>
            </w:pPr>
            <w:r>
              <w:rPr>
                <w:rFonts w:hint="eastAsia"/>
              </w:rPr>
              <w:t>3.启动大型企业研发机构调研，加速推动企业研发机构建设围绕重点产业和重点行业，对我省大型企业研发机构运行情况开展全面调研，根据参与本次调查的566家大型企业，建有研发机构的491家，占比87%，建设企业技术中心、工业设计中心、工程技术研究中心等各类国家级创新平台200个，省级创新平台693个，在海外设立研发机构64家，为技术创新构建了较为完善的平台支撑体系。</w:t>
            </w:r>
          </w:p>
        </w:tc>
        <w:tc>
          <w:tcPr>
            <w:tcW w:w="1276" w:type="dxa"/>
            <w:vMerge w:val="restart"/>
            <w:vAlign w:val="center"/>
          </w:tcPr>
          <w:p>
            <w:pPr>
              <w:jc w:val="center"/>
            </w:pPr>
            <w:r>
              <w:rPr>
                <w:rFonts w:hint="eastAsia"/>
              </w:rPr>
              <w:t>高新处、</w:t>
            </w:r>
          </w:p>
          <w:p>
            <w:pPr>
              <w:jc w:val="center"/>
            </w:pPr>
            <w:r>
              <w:rPr>
                <w:rFonts w:hint="eastAsia"/>
              </w:rPr>
              <w:t>科技服务中心</w:t>
            </w:r>
          </w:p>
        </w:tc>
        <w:tc>
          <w:tcPr>
            <w:tcW w:w="1188" w:type="dxa"/>
            <w:vMerge w:val="restart"/>
          </w:tcPr>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720" w:type="dxa"/>
            <w:vMerge w:val="continue"/>
            <w:vAlign w:val="center"/>
          </w:tcPr>
          <w:p>
            <w:pPr>
              <w:jc w:val="center"/>
            </w:pPr>
          </w:p>
        </w:tc>
        <w:tc>
          <w:tcPr>
            <w:tcW w:w="3622" w:type="dxa"/>
            <w:vMerge w:val="continue"/>
            <w:vAlign w:val="center"/>
          </w:tcPr>
          <w:p/>
        </w:tc>
        <w:tc>
          <w:tcPr>
            <w:tcW w:w="1240" w:type="dxa"/>
            <w:vMerge w:val="continue"/>
            <w:vAlign w:val="center"/>
          </w:tcPr>
          <w:p>
            <w:pPr>
              <w:jc w:val="center"/>
              <w:rPr>
                <w:rFonts w:ascii="黑体" w:hAnsi="黑体" w:eastAsia="黑体" w:cs="黑体"/>
                <w:sz w:val="30"/>
                <w:szCs w:val="30"/>
              </w:rPr>
            </w:pPr>
          </w:p>
        </w:tc>
        <w:tc>
          <w:tcPr>
            <w:tcW w:w="2464" w:type="dxa"/>
          </w:tcPr>
          <w:p>
            <w:pPr>
              <w:ind w:firstLine="420" w:firstLineChars="200"/>
            </w:pPr>
            <w:r>
              <w:rPr>
                <w:rFonts w:hint="eastAsia"/>
              </w:rPr>
              <w:t>2.深入落实和实施企业研发费用加计扣除和研发投入后补助政策，引导更多企业开展研发活动。完成上年度补助项目下达工作，并启动2019年度补助项目征集工作。</w:t>
            </w:r>
          </w:p>
        </w:tc>
        <w:tc>
          <w:tcPr>
            <w:tcW w:w="4253" w:type="dxa"/>
            <w:vMerge w:val="continue"/>
            <w:vAlign w:val="center"/>
          </w:tcPr>
          <w:p>
            <w:pPr>
              <w:ind w:firstLine="420" w:firstLineChars="200"/>
            </w:pPr>
          </w:p>
        </w:tc>
        <w:tc>
          <w:tcPr>
            <w:tcW w:w="1276" w:type="dxa"/>
            <w:vMerge w:val="continue"/>
            <w:vAlign w:val="center"/>
          </w:tcPr>
          <w:p>
            <w:pPr>
              <w:jc w:val="center"/>
            </w:pPr>
          </w:p>
        </w:tc>
        <w:tc>
          <w:tcPr>
            <w:tcW w:w="1188" w:type="dxa"/>
            <w:vMerge w:val="continue"/>
          </w:tcPr>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pPr>
              <w:jc w:val="center"/>
              <w:rPr>
                <w:rFonts w:ascii="黑体" w:hAnsi="黑体" w:eastAsia="黑体" w:cs="黑体"/>
                <w:sz w:val="30"/>
                <w:szCs w:val="30"/>
              </w:rPr>
            </w:pPr>
            <w:r>
              <w:rPr>
                <w:rFonts w:hint="eastAsia"/>
              </w:rPr>
              <w:t>124</w:t>
            </w:r>
          </w:p>
        </w:tc>
        <w:tc>
          <w:tcPr>
            <w:tcW w:w="3622" w:type="dxa"/>
            <w:vAlign w:val="center"/>
          </w:tcPr>
          <w:p>
            <w:pPr>
              <w:rPr>
                <w:rFonts w:ascii="黑体" w:hAnsi="黑体" w:eastAsia="黑体" w:cs="黑体"/>
                <w:sz w:val="30"/>
                <w:szCs w:val="30"/>
              </w:rPr>
            </w:pPr>
            <w:r>
              <w:rPr>
                <w:rFonts w:hint="eastAsia"/>
              </w:rPr>
              <w:t>围绕十强产业集群，实施30项国家级、省级大科学计划和大科学工程，攻克一批制约产业发展的“卡脖子”技术问题。</w:t>
            </w:r>
          </w:p>
        </w:tc>
        <w:tc>
          <w:tcPr>
            <w:tcW w:w="1240" w:type="dxa"/>
            <w:vAlign w:val="center"/>
          </w:tcPr>
          <w:p>
            <w:pPr>
              <w:jc w:val="center"/>
              <w:rPr>
                <w:rFonts w:ascii="黑体" w:hAnsi="黑体" w:eastAsia="黑体" w:cs="黑体"/>
                <w:sz w:val="30"/>
                <w:szCs w:val="30"/>
              </w:rPr>
            </w:pPr>
          </w:p>
        </w:tc>
        <w:tc>
          <w:tcPr>
            <w:tcW w:w="2464" w:type="dxa"/>
          </w:tcPr>
          <w:p>
            <w:pPr>
              <w:ind w:firstLine="420" w:firstLineChars="200"/>
            </w:pPr>
            <w:r>
              <w:rPr>
                <w:rFonts w:hint="eastAsia"/>
              </w:rPr>
              <w:t>根据我省大科学计划和大科学工程规划要求，以人工智能、创新药物与高端医疗装备等领域为重点，4月份明确领域支持重点方向并进行项目遴选，8月底前完成30项大科学计划和大科学工程立项工作。</w:t>
            </w:r>
          </w:p>
        </w:tc>
        <w:tc>
          <w:tcPr>
            <w:tcW w:w="4253" w:type="dxa"/>
            <w:vAlign w:val="center"/>
          </w:tcPr>
          <w:p>
            <w:pPr>
              <w:ind w:firstLine="420" w:firstLineChars="200"/>
            </w:pPr>
            <w:r>
              <w:rPr>
                <w:rFonts w:hint="eastAsia"/>
              </w:rPr>
              <w:t>1.围绕十强产业，依托省重大科技创新工程，试点组织省大科学计划和大科学工程。已完成指南编制发布、项目申报受理、专家评审和现场考察等程序，预计8月底前完成立项工作。同时针对制约我省新旧动能转换的重大技术问题，以千米以下冲击地压矿井智能化无人开采、蓝色药库（海洋药物）、核电装备、人工智能+传统产业等为重点，试点通过定向委托形式开展大科学计划和大科学工程，现已完成两个领域的方案编制工作，正在组织专家论证。</w:t>
            </w:r>
          </w:p>
          <w:p>
            <w:pPr>
              <w:ind w:firstLine="420" w:firstLineChars="200"/>
              <w:rPr>
                <w:rFonts w:ascii="楷体" w:hAnsi="楷体" w:eastAsia="楷体" w:cs="楷体"/>
              </w:rPr>
            </w:pPr>
            <w:r>
              <w:rPr>
                <w:rFonts w:hint="eastAsia"/>
              </w:rPr>
              <w:t>2.100项创新性强、产业化前景好、对产业发展带动明显的人工智能重点项目已经进入现场考察阶段。下半年将实施，争取取得一批重要科技成果并转移转化。</w:t>
            </w:r>
          </w:p>
        </w:tc>
        <w:tc>
          <w:tcPr>
            <w:tcW w:w="1276" w:type="dxa"/>
            <w:vAlign w:val="center"/>
          </w:tcPr>
          <w:p>
            <w:pPr>
              <w:jc w:val="center"/>
            </w:pPr>
            <w:r>
              <w:rPr>
                <w:rFonts w:hint="eastAsia"/>
              </w:rPr>
              <w:t>专项办</w:t>
            </w:r>
          </w:p>
          <w:p>
            <w:pPr>
              <w:jc w:val="center"/>
            </w:pPr>
            <w:r>
              <w:rPr>
                <w:rFonts w:hint="eastAsia"/>
              </w:rPr>
              <w:t>高新处</w:t>
            </w:r>
          </w:p>
          <w:p>
            <w:pPr>
              <w:jc w:val="center"/>
            </w:pPr>
            <w:r>
              <w:rPr>
                <w:rFonts w:hint="eastAsia"/>
              </w:rPr>
              <w:t>农村处</w:t>
            </w:r>
          </w:p>
          <w:p>
            <w:pPr>
              <w:jc w:val="center"/>
            </w:pPr>
            <w:r>
              <w:rPr>
                <w:rFonts w:hint="eastAsia"/>
              </w:rPr>
              <w:t>社发处</w:t>
            </w:r>
          </w:p>
          <w:p>
            <w:pPr>
              <w:jc w:val="center"/>
            </w:pPr>
            <w:r>
              <w:rPr>
                <w:rFonts w:hint="eastAsia"/>
              </w:rPr>
              <w:t>海洋处</w:t>
            </w:r>
          </w:p>
          <w:p>
            <w:pPr>
              <w:jc w:val="center"/>
            </w:pPr>
            <w:r>
              <w:rPr>
                <w:rFonts w:hint="eastAsia"/>
              </w:rPr>
              <w:t>合作处</w:t>
            </w:r>
          </w:p>
          <w:p>
            <w:pPr>
              <w:jc w:val="center"/>
            </w:pPr>
            <w:r>
              <w:rPr>
                <w:rFonts w:hint="eastAsia"/>
              </w:rPr>
              <w:t>规划处</w:t>
            </w:r>
          </w:p>
        </w:tc>
        <w:tc>
          <w:tcPr>
            <w:tcW w:w="1188" w:type="dxa"/>
          </w:tcPr>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720" w:type="dxa"/>
            <w:vAlign w:val="center"/>
          </w:tcPr>
          <w:p>
            <w:pPr>
              <w:jc w:val="center"/>
              <w:rPr>
                <w:rFonts w:ascii="黑体" w:hAnsi="黑体" w:eastAsia="黑体" w:cs="黑体"/>
                <w:sz w:val="30"/>
                <w:szCs w:val="30"/>
              </w:rPr>
            </w:pPr>
            <w:r>
              <w:rPr>
                <w:rFonts w:hint="eastAsia"/>
              </w:rPr>
              <w:t>125</w:t>
            </w:r>
          </w:p>
        </w:tc>
        <w:tc>
          <w:tcPr>
            <w:tcW w:w="3622" w:type="dxa"/>
            <w:vAlign w:val="center"/>
          </w:tcPr>
          <w:p>
            <w:pPr>
              <w:rPr>
                <w:rFonts w:ascii="黑体" w:hAnsi="黑体" w:eastAsia="黑体" w:cs="黑体"/>
                <w:sz w:val="30"/>
                <w:szCs w:val="30"/>
              </w:rPr>
            </w:pPr>
            <w:r>
              <w:rPr>
                <w:rFonts w:hint="eastAsia"/>
              </w:rPr>
              <w:t>积极承担国家科技计划项目，争取更多国家重点科学计划成果在我省转化实施。</w:t>
            </w:r>
          </w:p>
        </w:tc>
        <w:tc>
          <w:tcPr>
            <w:tcW w:w="1240" w:type="dxa"/>
            <w:vAlign w:val="center"/>
          </w:tcPr>
          <w:p>
            <w:pPr>
              <w:jc w:val="center"/>
              <w:rPr>
                <w:rFonts w:ascii="黑体" w:hAnsi="黑体" w:eastAsia="黑体" w:cs="黑体"/>
                <w:sz w:val="30"/>
                <w:szCs w:val="30"/>
              </w:rPr>
            </w:pPr>
          </w:p>
        </w:tc>
        <w:tc>
          <w:tcPr>
            <w:tcW w:w="2464" w:type="dxa"/>
          </w:tcPr>
          <w:p>
            <w:pPr>
              <w:ind w:firstLine="525" w:firstLineChars="250"/>
            </w:pPr>
            <w:r>
              <w:rPr>
                <w:rFonts w:hint="eastAsia"/>
              </w:rPr>
              <w:t>1.加强我省优势创新项目的培育工作，积极与国家对接，推荐高档数控机床与基础制造装备、重大新药创制等领域重点项目参与国家科技计划项目，积极争取国家科技重大专项成果在我省落地转化。</w:t>
            </w:r>
          </w:p>
          <w:p>
            <w:pPr>
              <w:ind w:firstLine="525" w:firstLineChars="250"/>
            </w:pPr>
            <w:r>
              <w:rPr>
                <w:rFonts w:hint="eastAsia"/>
              </w:rPr>
              <w:t>2.推动“透明海洋”“蓝色药库”“智慧海洋”等省级大科学工程列入国家专项。</w:t>
            </w:r>
          </w:p>
          <w:p>
            <w:pPr>
              <w:ind w:firstLine="525" w:firstLineChars="250"/>
            </w:pPr>
            <w:r>
              <w:rPr>
                <w:rFonts w:hint="eastAsia"/>
              </w:rPr>
              <w:t>3.推动海洋试点国家实验室和海洋大科学中心科研成果优先在山东转移转化。</w:t>
            </w:r>
          </w:p>
        </w:tc>
        <w:tc>
          <w:tcPr>
            <w:tcW w:w="4253" w:type="dxa"/>
            <w:vAlign w:val="center"/>
          </w:tcPr>
          <w:p>
            <w:pPr>
              <w:numPr>
                <w:ilvl w:val="0"/>
                <w:numId w:val="1"/>
              </w:numPr>
              <w:ind w:firstLine="420" w:firstLineChars="200"/>
            </w:pPr>
            <w:r>
              <w:rPr>
                <w:rFonts w:hint="eastAsia"/>
              </w:rPr>
              <w:t>推动高校院所和企业积极申报国家重点研发计划，已在“智能机器人”、“综合交通运输与智能交通”、“网络协同制造和智能工厂”等重点专项领域推荐30个项目。争取一批国家重点研发计划项目落户我省。</w:t>
            </w:r>
          </w:p>
          <w:p>
            <w:pPr>
              <w:numPr>
                <w:ilvl w:val="0"/>
                <w:numId w:val="1"/>
              </w:numPr>
              <w:ind w:firstLine="420" w:firstLineChars="200"/>
            </w:pPr>
            <w:r>
              <w:t>加快技术创新中心建设</w:t>
            </w:r>
            <w:r>
              <w:rPr>
                <w:rFonts w:hint="eastAsia"/>
              </w:rPr>
              <w:t>，</w:t>
            </w:r>
            <w:r>
              <w:t>引领产业技术创新</w:t>
            </w:r>
            <w:r>
              <w:rPr>
                <w:rFonts w:hint="eastAsia"/>
              </w:rPr>
              <w:t>，坚持新动能培育与旧动能升级相结合，既注重服务我省纺织服装、机械、化工、冶金、建材等传统产业的转型升级，又注重发挥技术创新中心对新一代信息技术、新能源、新材料等新兴产业发展的支撑引领作用。</w:t>
            </w:r>
          </w:p>
          <w:p>
            <w:pPr>
              <w:numPr>
                <w:ilvl w:val="0"/>
                <w:numId w:val="1"/>
              </w:numPr>
              <w:ind w:firstLine="420" w:firstLineChars="200"/>
            </w:pPr>
            <w:r>
              <w:rPr>
                <w:rFonts w:hint="eastAsia"/>
              </w:rPr>
              <w:t>主动对接“高温气冷堆核电站”国家科技重大专项专家组牵头单位中核能源科技有限公司，积极促成其与省内有关企业、高校和科研院所合作，组织开展“核电关键技术和装备研发与示范项目”，推动国家科技重大专项成果在我省转化落地。现已完成项目实施方案编制工作，下一步将按程序抓紧推进落实。</w:t>
            </w:r>
          </w:p>
          <w:p>
            <w:pPr>
              <w:ind w:firstLine="420" w:firstLineChars="200"/>
              <w:jc w:val="left"/>
            </w:pPr>
            <w:r>
              <w:rPr>
                <w:rFonts w:hint="eastAsia"/>
              </w:rPr>
              <w:t>4</w:t>
            </w:r>
            <w:r>
              <w:t>.</w:t>
            </w:r>
            <w:r>
              <w:rPr>
                <w:rFonts w:hint="eastAsia"/>
              </w:rPr>
              <w:t>向科技部积极争取将“透明海洋”“蓝色药库”等项目纳入国家重点研发计划，科技部反馈将根据《国家重点研发计划管理暂行办法》，结合“十四五”有关规划部署，商有关方面统筹推进。将“蓝色药库”开发列入我省科技重点研发计划规划和全省科技创新重点内容，积极对接管华诗院士团队，组织编制完善“蓝色药库”计划实施方案，系统谋划推进工作。</w:t>
            </w:r>
          </w:p>
        </w:tc>
        <w:tc>
          <w:tcPr>
            <w:tcW w:w="1276" w:type="dxa"/>
            <w:vAlign w:val="center"/>
          </w:tcPr>
          <w:p>
            <w:pPr>
              <w:jc w:val="center"/>
            </w:pPr>
            <w:r>
              <w:rPr>
                <w:rFonts w:hint="eastAsia"/>
              </w:rPr>
              <w:t>资配处</w:t>
            </w:r>
          </w:p>
          <w:p>
            <w:pPr>
              <w:jc w:val="center"/>
            </w:pPr>
            <w:r>
              <w:rPr>
                <w:rFonts w:hint="eastAsia"/>
              </w:rPr>
              <w:t>专项办</w:t>
            </w:r>
          </w:p>
          <w:p>
            <w:pPr>
              <w:jc w:val="center"/>
            </w:pPr>
            <w:r>
              <w:rPr>
                <w:rFonts w:hint="eastAsia"/>
              </w:rPr>
              <w:t>高新处</w:t>
            </w:r>
          </w:p>
          <w:p>
            <w:pPr>
              <w:jc w:val="center"/>
            </w:pPr>
            <w:r>
              <w:rPr>
                <w:rFonts w:hint="eastAsia"/>
              </w:rPr>
              <w:t>农村处</w:t>
            </w:r>
          </w:p>
          <w:p>
            <w:pPr>
              <w:jc w:val="center"/>
            </w:pPr>
            <w:r>
              <w:rPr>
                <w:rFonts w:hint="eastAsia"/>
              </w:rPr>
              <w:t>社发处</w:t>
            </w:r>
          </w:p>
          <w:p>
            <w:pPr>
              <w:jc w:val="center"/>
            </w:pPr>
            <w:r>
              <w:rPr>
                <w:rFonts w:hint="eastAsia"/>
              </w:rPr>
              <w:t>海洋处</w:t>
            </w:r>
          </w:p>
        </w:tc>
        <w:tc>
          <w:tcPr>
            <w:tcW w:w="1188" w:type="dxa"/>
          </w:tcPr>
          <w:p>
            <w:pPr>
              <w:ind w:left="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0" w:hRule="atLeast"/>
        </w:trPr>
        <w:tc>
          <w:tcPr>
            <w:tcW w:w="720" w:type="dxa"/>
            <w:vMerge w:val="restart"/>
            <w:vAlign w:val="center"/>
          </w:tcPr>
          <w:p>
            <w:pPr>
              <w:jc w:val="center"/>
              <w:rPr>
                <w:rFonts w:ascii="黑体" w:hAnsi="黑体" w:eastAsia="黑体" w:cs="黑体"/>
                <w:sz w:val="30"/>
                <w:szCs w:val="30"/>
              </w:rPr>
            </w:pPr>
            <w:r>
              <w:rPr>
                <w:rFonts w:hint="eastAsia"/>
              </w:rPr>
              <w:t>126</w:t>
            </w:r>
          </w:p>
        </w:tc>
        <w:tc>
          <w:tcPr>
            <w:tcW w:w="3622" w:type="dxa"/>
            <w:vMerge w:val="restart"/>
            <w:vAlign w:val="center"/>
          </w:tcPr>
          <w:p>
            <w:pPr>
              <w:rPr>
                <w:rFonts w:ascii="黑体" w:hAnsi="黑体" w:eastAsia="黑体" w:cs="黑体"/>
                <w:sz w:val="30"/>
                <w:szCs w:val="30"/>
              </w:rPr>
            </w:pPr>
            <w:r>
              <w:rPr>
                <w:rFonts w:hint="eastAsia"/>
              </w:rPr>
              <w:t>全面落实人才新政20条，实施好泰山系列人才工程，继续实施“山东-名校人才直通车”、“外专双百计划”引才工程、省级高端外国专家项目等引智专项，开展“百千万专家服务基层”活动。实施青年科技人才竞争力提升计划。</w:t>
            </w:r>
          </w:p>
        </w:tc>
        <w:tc>
          <w:tcPr>
            <w:tcW w:w="1240" w:type="dxa"/>
            <w:vAlign w:val="center"/>
          </w:tcPr>
          <w:p>
            <w:pPr>
              <w:rPr>
                <w:rFonts w:ascii="黑体" w:hAnsi="黑体" w:eastAsia="黑体" w:cs="黑体"/>
                <w:sz w:val="30"/>
                <w:szCs w:val="30"/>
              </w:rPr>
            </w:pPr>
            <w:r>
              <w:rPr>
                <w:rFonts w:hint="eastAsia"/>
              </w:rPr>
              <w:t>（1）全面落实人才新政20条，实施好泰山系列人才工程，继续实施“山东-名校人才直通车”、“外专双百计划”引才工程、省级高端外国专家项目等引智专项，开展“百千万专家服务基层”活动。</w:t>
            </w:r>
          </w:p>
        </w:tc>
        <w:tc>
          <w:tcPr>
            <w:tcW w:w="2464" w:type="dxa"/>
          </w:tcPr>
          <w:p>
            <w:r>
              <w:rPr>
                <w:rFonts w:hint="eastAsia"/>
              </w:rPr>
              <w:t>1.按照省人才工作领导小组办公室统一要求，启动2019年度科研院所领域泰山学者特聘专家和青年专家以及高效生态农业创新类、战略性新兴产业创新类泰山产业领军人才工程申报工作，聚焦新旧动能转换“十强”领域引进、培养80名左右高层次人才。</w:t>
            </w:r>
          </w:p>
          <w:p>
            <w:r>
              <w:rPr>
                <w:rFonts w:hint="eastAsia"/>
              </w:rPr>
              <w:t>2.继续举办“创业齐鲁·共赢未来”创新创业大赛，整合省级层面创业大赛，探索设立海外分赛场，“以赛代评”方式遴选科技创业类泰山产业领军人才，遴选100名创业企业类人才，确定为泰山产业领军人才，遴选50个创业团队类人才，获得泰山产业领军人才工程候选资格。3.精心组织2019年“外专双百计划”申报及评审工作；做好“外专双百计划”入选专家及团队的经费核拨及后续管理服务工作。</w:t>
            </w:r>
          </w:p>
          <w:p>
            <w:pPr>
              <w:ind w:firstLine="420" w:firstLineChars="200"/>
            </w:pPr>
            <w:r>
              <w:rPr>
                <w:rFonts w:hint="eastAsia"/>
              </w:rPr>
              <w:t>4.精心组织2019年省级国（境）外专家项目申报及评审工作，完成入选项目的经费核拨工作。</w:t>
            </w:r>
          </w:p>
        </w:tc>
        <w:tc>
          <w:tcPr>
            <w:tcW w:w="4253" w:type="dxa"/>
            <w:vMerge w:val="restart"/>
            <w:vAlign w:val="center"/>
          </w:tcPr>
          <w:p>
            <w:pPr>
              <w:ind w:firstLine="420" w:firstLineChars="200"/>
            </w:pPr>
            <w:r>
              <w:rPr>
                <w:rFonts w:hint="eastAsia"/>
              </w:rPr>
              <w:t>1.精心组织2019年度“外专双百计划”申报、评审工作。为优化评审流程、提升专家层次，召开专题部署会，详细解读政策和流程，并首次启用网上申报系统。全省共150个项目通过形式审查，其中个人项目93个,团队项目57个。7月份组织了第一轮会议评审，从150个项目中评选中95个进入下一轮。8月初，在济南市组织了第二轮答辩评审，从95个项目中评选出70个项目进入考察范围。整个评审过程坚持公开公正的原则，严格评价标准、统一评价尺度，确保评审出的项目符合我省科技创新和高质量发展的需求。下一步，认真做好2019年度“外专双百计划”实地考察、背景审查等相关工作；根据当前引才形势和项目实际需求，完善“外专双百计划”管理服务政策，从制度上对专家调整、经费使用、绩效评价等进行规范，把“外专双百计划”做成全国品牌引智工程。</w:t>
            </w:r>
          </w:p>
          <w:p>
            <w:pPr>
              <w:ind w:firstLine="420" w:firstLineChars="200"/>
            </w:pPr>
            <w:r>
              <w:rPr>
                <w:rFonts w:hint="eastAsia"/>
              </w:rPr>
              <w:t>2.已完成2017、2018两个年度经费申请材料审核工作，拟核拨经费1400余万元。下一步，拟于8月下旬部署2019年省级国（境）外专家项目申报工作，9月份组织项目评审工作，尽快印发资助计划并核拨经费。</w:t>
            </w:r>
          </w:p>
          <w:p>
            <w:pPr>
              <w:ind w:firstLine="420" w:firstLineChars="200"/>
            </w:pPr>
            <w:r>
              <w:rPr>
                <w:rFonts w:hint="eastAsia"/>
              </w:rPr>
              <w:t>3.按照省人才工作领导小组办公室统一要求，启动2019年度科研院所领域泰山学者特聘专家和青年专家以及高效生态农业创新类、战略性新兴产业创新类泰山产业领军人才工程申报工作。科研院所领域泰山学者，已完成答辩会评、综合论证、拟入选公示、现场考察、合同签订等工作。高效生态农业创新类、战略性新兴产业创新类泰山产业领军人才工程已完成答辩会评、综合论证、拟入选公示，正在进行现场考察工作。下一步，泰山系列人才工程将由省政府办公厅最终发文公布。</w:t>
            </w:r>
          </w:p>
          <w:p>
            <w:pPr>
              <w:ind w:firstLine="420" w:firstLineChars="200"/>
            </w:pPr>
            <w:r>
              <w:rPr>
                <w:rFonts w:hint="eastAsia"/>
              </w:rPr>
              <w:t>4.举办第二届“创业齐鲁·共赢未来”创新创业大赛，“以赛代评”方式遴选科技创业类泰山产业领军人才，已完成形式审查、省外网评工作。下一步，将组织大赛的决赛、颁奖典礼，并对决赛胜出人选进行现场考察和公示。</w:t>
            </w:r>
          </w:p>
          <w:p>
            <w:pPr>
              <w:ind w:firstLine="420" w:firstLineChars="200"/>
              <w:rPr>
                <w:rFonts w:ascii="黑体" w:hAnsi="黑体" w:eastAsia="黑体" w:cs="黑体"/>
                <w:sz w:val="30"/>
                <w:szCs w:val="30"/>
              </w:rPr>
            </w:pPr>
            <w:r>
              <w:rPr>
                <w:rFonts w:hint="eastAsia"/>
              </w:rPr>
              <w:t>5.积极实施青年科技人才竞争力提升计划，通过引导青年人才牵头承担重大科技项目，为其加速成长提供条件。在今年的重大科技创新工程中，对青年科技人才牵头的项目予以重点倾斜，拟立项项目中，45岁以下青年人才担任课题负责任的占37%，远远高于往年平均占比。</w:t>
            </w:r>
          </w:p>
        </w:tc>
        <w:tc>
          <w:tcPr>
            <w:tcW w:w="1276" w:type="dxa"/>
            <w:vAlign w:val="center"/>
          </w:tcPr>
          <w:p>
            <w:pPr>
              <w:jc w:val="center"/>
            </w:pPr>
            <w:r>
              <w:rPr>
                <w:rFonts w:hint="eastAsia"/>
              </w:rPr>
              <w:t>引智处</w:t>
            </w:r>
          </w:p>
          <w:p>
            <w:pPr>
              <w:ind w:firstLine="420" w:firstLineChars="200"/>
            </w:pPr>
            <w:r>
              <w:rPr>
                <w:rFonts w:hint="eastAsia"/>
              </w:rPr>
              <w:t>外专处</w:t>
            </w:r>
          </w:p>
        </w:tc>
        <w:tc>
          <w:tcPr>
            <w:tcW w:w="1188" w:type="dxa"/>
            <w:vMerge w:val="restart"/>
          </w:tcPr>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0" w:hRule="atLeast"/>
        </w:trPr>
        <w:tc>
          <w:tcPr>
            <w:tcW w:w="720" w:type="dxa"/>
            <w:vMerge w:val="continue"/>
            <w:vAlign w:val="center"/>
          </w:tcPr>
          <w:p>
            <w:pPr>
              <w:jc w:val="center"/>
            </w:pPr>
          </w:p>
        </w:tc>
        <w:tc>
          <w:tcPr>
            <w:tcW w:w="3622" w:type="dxa"/>
            <w:vMerge w:val="continue"/>
            <w:vAlign w:val="center"/>
          </w:tcPr>
          <w:p/>
        </w:tc>
        <w:tc>
          <w:tcPr>
            <w:tcW w:w="1240" w:type="dxa"/>
            <w:vAlign w:val="center"/>
          </w:tcPr>
          <w:p>
            <w:pPr>
              <w:rPr>
                <w:rFonts w:ascii="黑体" w:hAnsi="黑体" w:eastAsia="黑体" w:cs="黑体"/>
                <w:sz w:val="30"/>
                <w:szCs w:val="30"/>
              </w:rPr>
            </w:pPr>
            <w:r>
              <w:rPr>
                <w:rFonts w:hint="eastAsia"/>
              </w:rPr>
              <w:t>（2）实施青年科技人才竞争力提升计划。</w:t>
            </w:r>
          </w:p>
        </w:tc>
        <w:tc>
          <w:tcPr>
            <w:tcW w:w="2464" w:type="dxa"/>
          </w:tcPr>
          <w:p>
            <w:pPr>
              <w:ind w:firstLine="420" w:firstLineChars="200"/>
            </w:pPr>
            <w:r>
              <w:rPr>
                <w:rFonts w:hint="eastAsia"/>
              </w:rPr>
              <w:t>遴选20名左右青年科学家、优秀青年科技拔尖人才，采取自定选题、自选路线、自组团队模式，牵头实施重大科技创新工程项目，开展关键核心技术攻关。</w:t>
            </w:r>
          </w:p>
        </w:tc>
        <w:tc>
          <w:tcPr>
            <w:tcW w:w="4253" w:type="dxa"/>
            <w:vMerge w:val="continue"/>
            <w:vAlign w:val="center"/>
          </w:tcPr>
          <w:p>
            <w:pPr>
              <w:ind w:firstLine="420" w:firstLineChars="200"/>
            </w:pPr>
          </w:p>
        </w:tc>
        <w:tc>
          <w:tcPr>
            <w:tcW w:w="1276" w:type="dxa"/>
            <w:vAlign w:val="center"/>
          </w:tcPr>
          <w:p>
            <w:pPr>
              <w:ind w:firstLine="420" w:firstLineChars="200"/>
            </w:pPr>
            <w:r>
              <w:rPr>
                <w:rFonts w:hint="eastAsia"/>
              </w:rPr>
              <w:t>引智处</w:t>
            </w:r>
          </w:p>
        </w:tc>
        <w:tc>
          <w:tcPr>
            <w:tcW w:w="1188" w:type="dxa"/>
            <w:vMerge w:val="continue"/>
          </w:tcPr>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pPr>
              <w:jc w:val="center"/>
              <w:rPr>
                <w:rFonts w:ascii="黑体" w:hAnsi="黑体" w:eastAsia="黑体" w:cs="黑体"/>
                <w:sz w:val="30"/>
                <w:szCs w:val="30"/>
              </w:rPr>
            </w:pPr>
            <w:r>
              <w:rPr>
                <w:rFonts w:hint="eastAsia"/>
              </w:rPr>
              <w:t>127</w:t>
            </w:r>
          </w:p>
        </w:tc>
        <w:tc>
          <w:tcPr>
            <w:tcW w:w="3622" w:type="dxa"/>
            <w:vAlign w:val="center"/>
          </w:tcPr>
          <w:p>
            <w:pPr>
              <w:rPr>
                <w:rFonts w:ascii="黑体" w:hAnsi="黑体" w:eastAsia="黑体" w:cs="黑体"/>
                <w:sz w:val="30"/>
                <w:szCs w:val="30"/>
              </w:rPr>
            </w:pPr>
            <w:r>
              <w:rPr>
                <w:rFonts w:hint="eastAsia"/>
              </w:rPr>
              <w:t>健全人才分类评价机制和科研管理机制，赋予科研单位和科研人员更大自主权。</w:t>
            </w:r>
          </w:p>
        </w:tc>
        <w:tc>
          <w:tcPr>
            <w:tcW w:w="1240" w:type="dxa"/>
            <w:vAlign w:val="center"/>
          </w:tcPr>
          <w:p>
            <w:pPr>
              <w:rPr>
                <w:rFonts w:ascii="黑体" w:hAnsi="黑体" w:eastAsia="黑体" w:cs="黑体"/>
                <w:sz w:val="30"/>
                <w:szCs w:val="30"/>
              </w:rPr>
            </w:pPr>
          </w:p>
        </w:tc>
        <w:tc>
          <w:tcPr>
            <w:tcW w:w="2464" w:type="dxa"/>
          </w:tcPr>
          <w:p>
            <w:pPr>
              <w:ind w:firstLine="420" w:firstLineChars="200"/>
            </w:pPr>
            <w:r>
              <w:rPr>
                <w:rFonts w:hint="eastAsia"/>
              </w:rPr>
              <w:t>出台《关于聚焦现代产业发展 健全科技创新市场导向制度的若干意见》，持续推进科研领域放管服改革，释放科研单位、科研人员创新活力。</w:t>
            </w:r>
          </w:p>
        </w:tc>
        <w:tc>
          <w:tcPr>
            <w:tcW w:w="4253" w:type="dxa"/>
            <w:vAlign w:val="center"/>
          </w:tcPr>
          <w:p>
            <w:pPr>
              <w:ind w:firstLine="420" w:firstLineChars="200"/>
              <w:rPr>
                <w:rFonts w:ascii="黑体" w:hAnsi="黑体" w:eastAsia="黑体" w:cs="黑体"/>
                <w:sz w:val="30"/>
                <w:szCs w:val="30"/>
              </w:rPr>
            </w:pPr>
            <w:r>
              <w:rPr>
                <w:rFonts w:hint="eastAsia"/>
              </w:rPr>
              <w:t>已出台《关于健全科技创新市场导向制度的若干意见》（鲁政发〔2019〕13号），下一步将做好政策落实工作，释放科研单位、科研人员创新活力。</w:t>
            </w:r>
          </w:p>
        </w:tc>
        <w:tc>
          <w:tcPr>
            <w:tcW w:w="1276" w:type="dxa"/>
            <w:vAlign w:val="center"/>
          </w:tcPr>
          <w:p>
            <w:pPr>
              <w:jc w:val="center"/>
            </w:pPr>
            <w:r>
              <w:rPr>
                <w:rFonts w:hint="eastAsia"/>
              </w:rPr>
              <w:t>法规处</w:t>
            </w:r>
          </w:p>
          <w:p>
            <w:pPr>
              <w:jc w:val="center"/>
            </w:pPr>
            <w:r>
              <w:rPr>
                <w:rFonts w:hint="eastAsia"/>
              </w:rPr>
              <w:t>资配处</w:t>
            </w:r>
          </w:p>
          <w:p>
            <w:pPr>
              <w:ind w:firstLine="420" w:firstLineChars="200"/>
            </w:pPr>
            <w:r>
              <w:rPr>
                <w:rFonts w:hint="eastAsia"/>
              </w:rPr>
              <w:t>引智处</w:t>
            </w:r>
          </w:p>
        </w:tc>
        <w:tc>
          <w:tcPr>
            <w:tcW w:w="1188" w:type="dxa"/>
          </w:tcPr>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720" w:type="dxa"/>
            <w:vMerge w:val="restart"/>
            <w:vAlign w:val="center"/>
          </w:tcPr>
          <w:p>
            <w:pPr>
              <w:jc w:val="center"/>
              <w:rPr>
                <w:sz w:val="24"/>
              </w:rPr>
            </w:pPr>
            <w:r>
              <w:rPr>
                <w:rFonts w:hint="eastAsia"/>
                <w:sz w:val="24"/>
              </w:rPr>
              <w:t>131</w:t>
            </w:r>
          </w:p>
        </w:tc>
        <w:tc>
          <w:tcPr>
            <w:tcW w:w="3622" w:type="dxa"/>
            <w:vMerge w:val="restart"/>
            <w:vAlign w:val="center"/>
          </w:tcPr>
          <w:p>
            <w:r>
              <w:rPr>
                <w:rFonts w:hint="eastAsia"/>
              </w:rPr>
              <w:t>推进高新技术企业培育行动计划，高新技术企业突破1万家。</w:t>
            </w:r>
          </w:p>
        </w:tc>
        <w:tc>
          <w:tcPr>
            <w:tcW w:w="1240" w:type="dxa"/>
            <w:vMerge w:val="restart"/>
            <w:vAlign w:val="center"/>
          </w:tcPr>
          <w:p/>
        </w:tc>
        <w:tc>
          <w:tcPr>
            <w:tcW w:w="2464" w:type="dxa"/>
          </w:tcPr>
          <w:p>
            <w:pPr>
              <w:ind w:firstLine="525" w:firstLineChars="250"/>
            </w:pPr>
            <w:r>
              <w:rPr>
                <w:rFonts w:hint="eastAsia"/>
              </w:rPr>
              <w:t>1.加强科技企业孵化器、众创空间、大学科技园建设，落实有关税收优惠和高企孵化绩效奖励政策，夯实高新技术企业培育基础。</w:t>
            </w:r>
          </w:p>
        </w:tc>
        <w:tc>
          <w:tcPr>
            <w:tcW w:w="4253" w:type="dxa"/>
            <w:vMerge w:val="restart"/>
            <w:vAlign w:val="center"/>
          </w:tcPr>
          <w:p>
            <w:pPr>
              <w:ind w:firstLine="420" w:firstLineChars="200"/>
            </w:pPr>
            <w:r>
              <w:rPr>
                <w:rFonts w:hint="eastAsia"/>
              </w:rPr>
              <w:t>1.对3</w:t>
            </w:r>
            <w:r>
              <w:t>03</w:t>
            </w:r>
            <w:r>
              <w:rPr>
                <w:rFonts w:hint="eastAsia"/>
              </w:rPr>
              <w:t>家科技企业孵化器、6</w:t>
            </w:r>
            <w:r>
              <w:t>24</w:t>
            </w:r>
            <w:r>
              <w:rPr>
                <w:rFonts w:hint="eastAsia"/>
              </w:rPr>
              <w:t>家众创空间进行拉网式排查，找出问题，及时解决。出台《山东省科技企业孵化器和众创空间管理办法》，对孵化载体进行规范化管理。强化大学科技园建设，批准山东理工大学科技园等5家大学科技园建设。</w:t>
            </w:r>
          </w:p>
          <w:p>
            <w:pPr>
              <w:ind w:firstLine="420" w:firstLineChars="200"/>
            </w:pPr>
            <w:r>
              <w:rPr>
                <w:rFonts w:hint="eastAsia"/>
              </w:rPr>
              <w:t>2.做好科技型中小企业评价工作，引导符合条件的企业加入国家科技型中小企业库，给予精准服务和政策扶持，夯实高新技术企业培育基础。今年以来入库企业数达到7373家，总数超过去年全年水平，居全国第3位。为1600多家2018年度升级为高新技术企业的中小微企业补助1.6亿元。</w:t>
            </w:r>
          </w:p>
          <w:p>
            <w:pPr>
              <w:ind w:firstLine="420" w:firstLineChars="200"/>
            </w:pPr>
            <w:r>
              <w:rPr>
                <w:rFonts w:hint="eastAsia"/>
              </w:rPr>
              <w:t>3.实施好普惠性的创新扶持政策，激发企业创新内生动力。今年为13976户企业落实研发费加计扣除优惠金额533亿元，为2597家高新技术企业落实高新技术企业所得税减免127亿元; 落实孵化器税收优惠政策，加快科技型中小企业孵化培育。今年上半年，共有30家</w:t>
            </w:r>
            <w:r>
              <w:t>国家级科技企业孵化器</w:t>
            </w:r>
            <w:r>
              <w:rPr>
                <w:rFonts w:hint="eastAsia"/>
              </w:rPr>
              <w:t>通过2018年度的</w:t>
            </w:r>
            <w:r>
              <w:t>免</w:t>
            </w:r>
            <w:r>
              <w:rPr>
                <w:rFonts w:hint="eastAsia"/>
              </w:rPr>
              <w:t>税核查。新税收优惠政策出台后，已有28家</w:t>
            </w:r>
            <w:r>
              <w:t>国家级众创空间</w:t>
            </w:r>
            <w:r>
              <w:rPr>
                <w:rFonts w:hint="eastAsia"/>
              </w:rPr>
              <w:t>、26家</w:t>
            </w:r>
            <w:r>
              <w:t>国家级</w:t>
            </w:r>
            <w:r>
              <w:rPr>
                <w:rFonts w:hint="eastAsia"/>
              </w:rPr>
              <w:t>科技企业</w:t>
            </w:r>
            <w:r>
              <w:t>孵化器</w:t>
            </w:r>
            <w:r>
              <w:rPr>
                <w:rFonts w:hint="eastAsia"/>
              </w:rPr>
              <w:t>、7家省级</w:t>
            </w:r>
            <w:r>
              <w:t>科技企业孵化器通过</w:t>
            </w:r>
            <w:r>
              <w:rPr>
                <w:rFonts w:hint="eastAsia"/>
              </w:rPr>
              <w:t>科技部</w:t>
            </w:r>
            <w:r>
              <w:t>火炬中心审核</w:t>
            </w:r>
            <w:r>
              <w:rPr>
                <w:rFonts w:hint="eastAsia"/>
              </w:rPr>
              <w:t>。</w:t>
            </w:r>
          </w:p>
        </w:tc>
        <w:tc>
          <w:tcPr>
            <w:tcW w:w="1276" w:type="dxa"/>
            <w:vMerge w:val="restart"/>
            <w:vAlign w:val="center"/>
          </w:tcPr>
          <w:p>
            <w:pPr>
              <w:jc w:val="center"/>
            </w:pPr>
            <w:r>
              <w:rPr>
                <w:rFonts w:hint="eastAsia"/>
              </w:rPr>
              <w:t>高新处、</w:t>
            </w:r>
          </w:p>
          <w:p>
            <w:pPr>
              <w:jc w:val="center"/>
            </w:pPr>
            <w:r>
              <w:rPr>
                <w:rFonts w:hint="eastAsia"/>
              </w:rPr>
              <w:t>科技服务中心</w:t>
            </w:r>
          </w:p>
        </w:tc>
        <w:tc>
          <w:tcPr>
            <w:tcW w:w="1188" w:type="dxa"/>
            <w:vMerge w:val="restart"/>
          </w:tcPr>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720" w:type="dxa"/>
            <w:vMerge w:val="continue"/>
            <w:vAlign w:val="center"/>
          </w:tcPr>
          <w:p>
            <w:pPr>
              <w:jc w:val="center"/>
              <w:rPr>
                <w:sz w:val="24"/>
              </w:rPr>
            </w:pPr>
          </w:p>
        </w:tc>
        <w:tc>
          <w:tcPr>
            <w:tcW w:w="3622" w:type="dxa"/>
            <w:vMerge w:val="continue"/>
            <w:vAlign w:val="center"/>
          </w:tcPr>
          <w:p/>
        </w:tc>
        <w:tc>
          <w:tcPr>
            <w:tcW w:w="1240" w:type="dxa"/>
            <w:vMerge w:val="continue"/>
            <w:vAlign w:val="center"/>
          </w:tcPr>
          <w:p/>
        </w:tc>
        <w:tc>
          <w:tcPr>
            <w:tcW w:w="2464" w:type="dxa"/>
          </w:tcPr>
          <w:p>
            <w:pPr>
              <w:ind w:firstLine="525" w:firstLineChars="250"/>
            </w:pPr>
            <w:r>
              <w:rPr>
                <w:rFonts w:hint="eastAsia"/>
              </w:rPr>
              <w:t>2.依托国家科技型中小企业库，建立高新技术企业培育库，落实小升高补助政策，加快高新技术企业培育。</w:t>
            </w:r>
          </w:p>
        </w:tc>
        <w:tc>
          <w:tcPr>
            <w:tcW w:w="4253" w:type="dxa"/>
            <w:vMerge w:val="continue"/>
            <w:vAlign w:val="center"/>
          </w:tcPr>
          <w:p>
            <w:pPr>
              <w:ind w:firstLine="420" w:firstLineChars="200"/>
            </w:pPr>
          </w:p>
        </w:tc>
        <w:tc>
          <w:tcPr>
            <w:tcW w:w="1276" w:type="dxa"/>
            <w:vMerge w:val="continue"/>
            <w:vAlign w:val="center"/>
          </w:tcPr>
          <w:p>
            <w:pPr>
              <w:jc w:val="center"/>
            </w:pPr>
          </w:p>
        </w:tc>
        <w:tc>
          <w:tcPr>
            <w:tcW w:w="1188" w:type="dxa"/>
            <w:vMerge w:val="continue"/>
          </w:tcPr>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720" w:type="dxa"/>
            <w:vMerge w:val="continue"/>
            <w:vAlign w:val="center"/>
          </w:tcPr>
          <w:p>
            <w:pPr>
              <w:jc w:val="center"/>
              <w:rPr>
                <w:sz w:val="24"/>
              </w:rPr>
            </w:pPr>
          </w:p>
        </w:tc>
        <w:tc>
          <w:tcPr>
            <w:tcW w:w="3622" w:type="dxa"/>
            <w:vMerge w:val="continue"/>
            <w:vAlign w:val="center"/>
          </w:tcPr>
          <w:p/>
        </w:tc>
        <w:tc>
          <w:tcPr>
            <w:tcW w:w="1240" w:type="dxa"/>
            <w:vMerge w:val="continue"/>
            <w:vAlign w:val="center"/>
          </w:tcPr>
          <w:p/>
        </w:tc>
        <w:tc>
          <w:tcPr>
            <w:tcW w:w="2464" w:type="dxa"/>
          </w:tcPr>
          <w:p>
            <w:pPr>
              <w:ind w:firstLine="525" w:firstLineChars="250"/>
            </w:pPr>
            <w:r>
              <w:rPr>
                <w:rFonts w:hint="eastAsia"/>
              </w:rPr>
              <w:t>3.继续实施高新技术企业培育和税收政策落实情况通报制度，推动地方加强高新技术企业培育、支持企业发展的积极性。</w:t>
            </w:r>
          </w:p>
        </w:tc>
        <w:tc>
          <w:tcPr>
            <w:tcW w:w="4253" w:type="dxa"/>
            <w:vMerge w:val="continue"/>
            <w:vAlign w:val="center"/>
          </w:tcPr>
          <w:p>
            <w:pPr>
              <w:ind w:firstLine="420" w:firstLineChars="200"/>
            </w:pPr>
          </w:p>
        </w:tc>
        <w:tc>
          <w:tcPr>
            <w:tcW w:w="1276" w:type="dxa"/>
            <w:vMerge w:val="continue"/>
            <w:vAlign w:val="center"/>
          </w:tcPr>
          <w:p>
            <w:pPr>
              <w:jc w:val="center"/>
            </w:pPr>
          </w:p>
        </w:tc>
        <w:tc>
          <w:tcPr>
            <w:tcW w:w="1188" w:type="dxa"/>
            <w:vMerge w:val="continue"/>
          </w:tcPr>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20" w:type="dxa"/>
            <w:vAlign w:val="center"/>
          </w:tcPr>
          <w:p>
            <w:pPr>
              <w:jc w:val="center"/>
              <w:rPr>
                <w:sz w:val="24"/>
              </w:rPr>
            </w:pPr>
            <w:r>
              <w:rPr>
                <w:rFonts w:hint="eastAsia"/>
              </w:rPr>
              <w:t>150</w:t>
            </w:r>
          </w:p>
        </w:tc>
        <w:tc>
          <w:tcPr>
            <w:tcW w:w="3622" w:type="dxa"/>
            <w:vAlign w:val="center"/>
          </w:tcPr>
          <w:p>
            <w:pPr>
              <w:rPr>
                <w:rFonts w:ascii="仿宋_GB2312" w:eastAsia="仿宋_GB2312" w:hAnsiTheme="minorEastAsia"/>
                <w:sz w:val="28"/>
                <w:szCs w:val="28"/>
              </w:rPr>
            </w:pPr>
            <w:r>
              <w:rPr>
                <w:rFonts w:hint="eastAsia"/>
              </w:rPr>
              <w:t>以山东产业技术研究院为示范样板，五年培育30个省级创新共同体。</w:t>
            </w:r>
          </w:p>
        </w:tc>
        <w:tc>
          <w:tcPr>
            <w:tcW w:w="1240" w:type="dxa"/>
            <w:vAlign w:val="center"/>
          </w:tcPr>
          <w:p>
            <w:pPr>
              <w:rPr>
                <w:rFonts w:ascii="仿宋_GB2312" w:eastAsia="仿宋_GB2312"/>
                <w:sz w:val="28"/>
                <w:szCs w:val="28"/>
              </w:rPr>
            </w:pPr>
          </w:p>
        </w:tc>
        <w:tc>
          <w:tcPr>
            <w:tcW w:w="2464" w:type="dxa"/>
          </w:tcPr>
          <w:p>
            <w:pPr>
              <w:ind w:firstLine="420" w:firstLineChars="200"/>
            </w:pPr>
            <w:r>
              <w:rPr>
                <w:rFonts w:hint="eastAsia"/>
              </w:rPr>
              <w:t>1.启动建设3-5家省级创新创业共同体。</w:t>
            </w:r>
          </w:p>
        </w:tc>
        <w:tc>
          <w:tcPr>
            <w:tcW w:w="4253" w:type="dxa"/>
            <w:vAlign w:val="center"/>
          </w:tcPr>
          <w:p>
            <w:pPr>
              <w:ind w:firstLine="420" w:firstLineChars="200"/>
            </w:pPr>
            <w:r>
              <w:rPr>
                <w:rFonts w:hint="eastAsia"/>
              </w:rPr>
              <w:t>1.分别于3月、4月、7月组织召开了有各市科技管理部门、重点高校、科研院所、高新区负责人参加的全省创新创业共同体和山东产业技术研究院建设推进座谈会，推动各方积极关注和参与创新创业共同体建设。制定了《山东省“政产学研金服用”创业创新共同体工作指引》，提出了省创新创业共同体建设专班成员建议名单，加强对创新创业共同体建设的统筹协调和整体谋划。先期选择济南高新区智能装备产业发展中心等4家具备雄厚实力和较强影响力的企业、新型研发机构等作为建设主体，试点推动省级创新创业共同体建设，为下步全面推开打造模板。</w:t>
            </w:r>
          </w:p>
          <w:p>
            <w:pPr>
              <w:ind w:firstLine="420" w:firstLineChars="200"/>
              <w:rPr>
                <w:rFonts w:ascii="楷体_GB2312" w:eastAsia="楷体_GB2312"/>
                <w:sz w:val="28"/>
                <w:szCs w:val="28"/>
              </w:rPr>
            </w:pPr>
            <w:r>
              <w:rPr>
                <w:rFonts w:hint="eastAsia"/>
              </w:rPr>
              <w:t>2.山东产业技术研究院完成注册并正式揭牌；首届理事会会议成功召开，通过了《山东产业技术研究院章程》等系列规范性文件；2019年度山东产业技术研究院专项资金省市各5亿元拨付到位。</w:t>
            </w:r>
          </w:p>
        </w:tc>
        <w:tc>
          <w:tcPr>
            <w:tcW w:w="1276" w:type="dxa"/>
            <w:vAlign w:val="center"/>
          </w:tcPr>
          <w:p>
            <w:pPr>
              <w:ind w:firstLine="420" w:firstLineChars="200"/>
            </w:pPr>
            <w:r>
              <w:rPr>
                <w:rFonts w:hint="eastAsia"/>
              </w:rPr>
              <w:t>资配处</w:t>
            </w:r>
          </w:p>
        </w:tc>
        <w:tc>
          <w:tcPr>
            <w:tcW w:w="1188" w:type="dxa"/>
          </w:tcPr>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720" w:type="dxa"/>
            <w:vMerge w:val="restart"/>
            <w:vAlign w:val="center"/>
          </w:tcPr>
          <w:p>
            <w:pPr>
              <w:jc w:val="center"/>
              <w:rPr>
                <w:sz w:val="24"/>
              </w:rPr>
            </w:pPr>
            <w:r>
              <w:rPr>
                <w:rFonts w:hint="eastAsia"/>
              </w:rPr>
              <w:t>152</w:t>
            </w:r>
          </w:p>
        </w:tc>
        <w:tc>
          <w:tcPr>
            <w:tcW w:w="3622" w:type="dxa"/>
            <w:vMerge w:val="restart"/>
            <w:vAlign w:val="center"/>
          </w:tcPr>
          <w:p>
            <w:pPr>
              <w:rPr>
                <w:rFonts w:ascii="仿宋_GB2312" w:eastAsia="仿宋_GB2312" w:hAnsiTheme="minorEastAsia"/>
                <w:sz w:val="28"/>
                <w:szCs w:val="28"/>
              </w:rPr>
            </w:pPr>
            <w:r>
              <w:rPr>
                <w:rFonts w:hint="eastAsia"/>
              </w:rPr>
              <w:t>支持民营企业牵头实施国家重大科技计划项目，对成功创建为国家技术创新中心、制造业创新中心的企业，省财政给予每个1000-3000万元经费支持。</w:t>
            </w:r>
          </w:p>
        </w:tc>
        <w:tc>
          <w:tcPr>
            <w:tcW w:w="1240" w:type="dxa"/>
            <w:vMerge w:val="restart"/>
            <w:vAlign w:val="center"/>
          </w:tcPr>
          <w:p>
            <w:pPr>
              <w:rPr>
                <w:rFonts w:ascii="仿宋_GB2312" w:eastAsia="仿宋_GB2312"/>
                <w:sz w:val="28"/>
                <w:szCs w:val="28"/>
              </w:rPr>
            </w:pPr>
          </w:p>
        </w:tc>
        <w:tc>
          <w:tcPr>
            <w:tcW w:w="2464" w:type="dxa"/>
            <w:vAlign w:val="center"/>
          </w:tcPr>
          <w:p>
            <w:pPr>
              <w:ind w:firstLine="525" w:firstLineChars="250"/>
            </w:pPr>
            <w:r>
              <w:rPr>
                <w:rFonts w:hint="eastAsia"/>
              </w:rPr>
              <w:t>1.制定我省单位实施国家重大科技计划项目配套奖励和支持办法，落实相关奖励和补助政策。</w:t>
            </w:r>
          </w:p>
        </w:tc>
        <w:tc>
          <w:tcPr>
            <w:tcW w:w="4253" w:type="dxa"/>
            <w:vMerge w:val="restart"/>
            <w:vAlign w:val="center"/>
          </w:tcPr>
          <w:p>
            <w:pPr>
              <w:ind w:firstLine="420" w:firstLineChars="200"/>
            </w:pPr>
            <w:r>
              <w:rPr>
                <w:rFonts w:hint="eastAsia"/>
              </w:rPr>
              <w:t>1.制定出台了《国家重点科研项目补助资金管理实施细则》、《国家重点科研项目奖励资金管理实施细则》（鲁科字</w:t>
            </w:r>
            <w:r>
              <w:t>[2019]36号</w:t>
            </w:r>
            <w:r>
              <w:rPr>
                <w:rFonts w:hint="eastAsia"/>
              </w:rPr>
              <w:t>）：“按照</w:t>
            </w:r>
            <w:r>
              <w:t>国家重点科研项目</w:t>
            </w:r>
            <w:r>
              <w:rPr>
                <w:rFonts w:hint="eastAsia"/>
              </w:rPr>
              <w:t>上年国拨经费实际到账额的15%对承担单位给予经费资助”、“按照国家重点科研项目上年国拨经费实际到账额核算承担单位奖励金额，牵头单位按5%、参与单位按3%的比例分别核算，分别奖励”。目前已下达燃料电池项目配套补助资金，其他申报项目已经完成资料审核，正在制定补助和奖励资金分配方案。</w:t>
            </w:r>
          </w:p>
          <w:p>
            <w:pPr>
              <w:ind w:firstLine="420" w:firstLineChars="200"/>
            </w:pPr>
            <w:r>
              <w:rPr>
                <w:rFonts w:hint="eastAsia"/>
              </w:rPr>
              <w:t>2.已制定省技术创新中心工作方案，组织有关单位申报省技术创新中心。研究制定了量化评价指标体系，组织专家进行评审论证和现场考察。下一步切实加快推进省级技术创新中心建设进度。</w:t>
            </w:r>
          </w:p>
        </w:tc>
        <w:tc>
          <w:tcPr>
            <w:tcW w:w="1276" w:type="dxa"/>
            <w:vMerge w:val="restart"/>
            <w:vAlign w:val="center"/>
          </w:tcPr>
          <w:p>
            <w:r>
              <w:rPr>
                <w:rFonts w:hint="eastAsia"/>
              </w:rPr>
              <w:t>资配处高新处</w:t>
            </w:r>
          </w:p>
        </w:tc>
        <w:tc>
          <w:tcPr>
            <w:tcW w:w="1188" w:type="dxa"/>
            <w:vMerge w:val="restart"/>
          </w:tcPr>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720" w:type="dxa"/>
            <w:vMerge w:val="continue"/>
            <w:vAlign w:val="center"/>
          </w:tcPr>
          <w:p>
            <w:pPr>
              <w:jc w:val="center"/>
            </w:pPr>
          </w:p>
        </w:tc>
        <w:tc>
          <w:tcPr>
            <w:tcW w:w="3622" w:type="dxa"/>
            <w:vMerge w:val="continue"/>
            <w:vAlign w:val="center"/>
          </w:tcPr>
          <w:p/>
        </w:tc>
        <w:tc>
          <w:tcPr>
            <w:tcW w:w="1240" w:type="dxa"/>
            <w:vMerge w:val="continue"/>
            <w:vAlign w:val="center"/>
          </w:tcPr>
          <w:p>
            <w:pPr>
              <w:rPr>
                <w:rFonts w:ascii="仿宋_GB2312" w:eastAsia="仿宋_GB2312"/>
                <w:sz w:val="28"/>
                <w:szCs w:val="28"/>
              </w:rPr>
            </w:pPr>
          </w:p>
        </w:tc>
        <w:tc>
          <w:tcPr>
            <w:tcW w:w="2464" w:type="dxa"/>
            <w:vAlign w:val="center"/>
          </w:tcPr>
          <w:p>
            <w:pPr>
              <w:ind w:firstLine="525" w:firstLineChars="250"/>
            </w:pPr>
            <w:r>
              <w:rPr>
                <w:rFonts w:hint="eastAsia"/>
              </w:rPr>
              <w:t>2.加快省级技术创新中心、制造业创新中心建设，为创建国家级中心奠定基础，对创建为国家中心的，落实有关经费支持政策。</w:t>
            </w:r>
          </w:p>
        </w:tc>
        <w:tc>
          <w:tcPr>
            <w:tcW w:w="4253" w:type="dxa"/>
            <w:vMerge w:val="continue"/>
            <w:vAlign w:val="center"/>
          </w:tcPr>
          <w:p>
            <w:pPr>
              <w:ind w:firstLine="420" w:firstLineChars="200"/>
            </w:pPr>
          </w:p>
        </w:tc>
        <w:tc>
          <w:tcPr>
            <w:tcW w:w="1276" w:type="dxa"/>
            <w:vMerge w:val="continue"/>
            <w:vAlign w:val="center"/>
          </w:tcPr>
          <w:p>
            <w:pPr>
              <w:ind w:firstLine="420" w:firstLineChars="200"/>
            </w:pPr>
          </w:p>
        </w:tc>
        <w:tc>
          <w:tcPr>
            <w:tcW w:w="1188" w:type="dxa"/>
            <w:vMerge w:val="continue"/>
          </w:tcPr>
          <w:p>
            <w:pPr>
              <w:ind w:firstLine="420" w:firstLineChars="200"/>
            </w:pPr>
          </w:p>
        </w:tc>
      </w:tr>
    </w:tbl>
    <w:p>
      <w:pPr>
        <w:ind w:firstLine="640" w:firstLineChars="200"/>
        <w:rPr>
          <w:rFonts w:ascii="楷体" w:hAnsi="楷体" w:eastAsia="楷体" w:cs="楷体"/>
          <w:sz w:val="32"/>
          <w:szCs w:val="32"/>
        </w:rPr>
      </w:pPr>
    </w:p>
    <w:sectPr>
      <w:footerReference r:id="rId3" w:type="default"/>
      <w:pgSz w:w="16838" w:h="11906" w:orient="landscape"/>
      <w:pgMar w:top="960" w:right="1440" w:bottom="1066"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- 7 -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- 7 -</w:t>
                    </w:r>
                    <w:r>
                      <w:rPr>
                        <w:rFonts w:hint="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59DEA"/>
    <w:multiLevelType w:val="singleLevel"/>
    <w:tmpl w:val="5D559D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848F5"/>
    <w:rsid w:val="0004331D"/>
    <w:rsid w:val="00106155"/>
    <w:rsid w:val="00137548"/>
    <w:rsid w:val="0016177D"/>
    <w:rsid w:val="00177EA9"/>
    <w:rsid w:val="001E36B2"/>
    <w:rsid w:val="00231020"/>
    <w:rsid w:val="00247409"/>
    <w:rsid w:val="002E5641"/>
    <w:rsid w:val="002F1B2E"/>
    <w:rsid w:val="00314286"/>
    <w:rsid w:val="003D06BE"/>
    <w:rsid w:val="004E307C"/>
    <w:rsid w:val="00566D1E"/>
    <w:rsid w:val="005A4B48"/>
    <w:rsid w:val="005B0E17"/>
    <w:rsid w:val="005C5881"/>
    <w:rsid w:val="00662D78"/>
    <w:rsid w:val="00690303"/>
    <w:rsid w:val="00694BF8"/>
    <w:rsid w:val="00714E34"/>
    <w:rsid w:val="00880155"/>
    <w:rsid w:val="008C48CF"/>
    <w:rsid w:val="008D6951"/>
    <w:rsid w:val="00976406"/>
    <w:rsid w:val="009F6BAC"/>
    <w:rsid w:val="00A72A41"/>
    <w:rsid w:val="00AA4D00"/>
    <w:rsid w:val="00B8565C"/>
    <w:rsid w:val="00BD4DFB"/>
    <w:rsid w:val="00BE77E9"/>
    <w:rsid w:val="00BF32AB"/>
    <w:rsid w:val="00C662B4"/>
    <w:rsid w:val="00C67BA0"/>
    <w:rsid w:val="00C85917"/>
    <w:rsid w:val="00CC0407"/>
    <w:rsid w:val="00CC2F60"/>
    <w:rsid w:val="00CF6530"/>
    <w:rsid w:val="00DB28A7"/>
    <w:rsid w:val="00DE2EFD"/>
    <w:rsid w:val="00F63F68"/>
    <w:rsid w:val="00F9163E"/>
    <w:rsid w:val="00FB5248"/>
    <w:rsid w:val="23A4497D"/>
    <w:rsid w:val="2AB848F5"/>
    <w:rsid w:val="53E75ED2"/>
    <w:rsid w:val="69A31F6F"/>
    <w:rsid w:val="7D7432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iPriority w:val="0"/>
    <w:pPr>
      <w:spacing w:line="360" w:lineRule="auto"/>
      <w:ind w:firstLine="48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列出段落1"/>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20</Pages>
  <Words>1766</Words>
  <Characters>10070</Characters>
  <Lines>83</Lines>
  <Paragraphs>23</Paragraphs>
  <TotalTime>49</TotalTime>
  <ScaleCrop>false</ScaleCrop>
  <LinksUpToDate>false</LinksUpToDate>
  <CharactersWithSpaces>11813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2019-08-13T08:07:00Z</dcterms:created>
  <dc:creator> </dc:creator>
  <cp:lastModifiedBy>'Always</cp:lastModifiedBy>
  <cp:lastPrinted>2019-08-16T03:53:00Z</cp:lastPrinted>
  <dcterms:modified xsi:type="dcterms:W3CDTF">2019-12-20T07:20:39Z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