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0"/>
        <w:rPr>
          <w:rFonts w:eastAsia="黑体"/>
          <w:szCs w:val="32"/>
        </w:rPr>
      </w:pPr>
      <w:r>
        <w:rPr>
          <w:rFonts w:hint="eastAsia" w:eastAsia="黑体"/>
          <w:szCs w:val="32"/>
        </w:rPr>
        <w:t>附件6</w:t>
      </w:r>
    </w:p>
    <w:p>
      <w:pPr>
        <w:spacing w:line="540" w:lineRule="exact"/>
        <w:jc w:val="center"/>
        <w:outlineLvl w:val="0"/>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往期绿色低碳技术成果清单</w:t>
      </w:r>
      <w:bookmarkEnd w:id="0"/>
    </w:p>
    <w:p>
      <w:pPr>
        <w:spacing w:line="540" w:lineRule="exact"/>
        <w:outlineLvl w:val="0"/>
        <w:rPr>
          <w:rFonts w:eastAsia="黑体"/>
          <w:szCs w:val="32"/>
        </w:rPr>
      </w:pPr>
    </w:p>
    <w:tbl>
      <w:tblPr>
        <w:tblStyle w:val="10"/>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090"/>
        <w:gridCol w:w="3948"/>
        <w:gridCol w:w="517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黑体"/>
                <w:color w:val="000000"/>
                <w:sz w:val="21"/>
                <w:szCs w:val="21"/>
              </w:rPr>
            </w:pPr>
            <w:r>
              <w:rPr>
                <w:rFonts w:eastAsia="黑体"/>
                <w:color w:val="000000"/>
                <w:kern w:val="0"/>
                <w:sz w:val="21"/>
                <w:szCs w:val="21"/>
                <w:lang w:bidi="ar"/>
              </w:rPr>
              <w:t>序号</w:t>
            </w:r>
          </w:p>
        </w:tc>
        <w:tc>
          <w:tcPr>
            <w:tcW w:w="1090" w:type="dxa"/>
            <w:shd w:val="clear" w:color="auto" w:fill="auto"/>
            <w:vAlign w:val="center"/>
          </w:tcPr>
          <w:p>
            <w:pPr>
              <w:widowControl/>
              <w:jc w:val="center"/>
              <w:textAlignment w:val="center"/>
              <w:rPr>
                <w:rFonts w:eastAsia="黑体"/>
                <w:color w:val="000000"/>
                <w:sz w:val="21"/>
                <w:szCs w:val="21"/>
              </w:rPr>
            </w:pPr>
            <w:r>
              <w:rPr>
                <w:rFonts w:eastAsia="黑体"/>
                <w:color w:val="000000"/>
                <w:kern w:val="0"/>
                <w:sz w:val="21"/>
                <w:szCs w:val="21"/>
                <w:lang w:bidi="ar"/>
              </w:rPr>
              <w:t>纳入年份</w:t>
            </w:r>
          </w:p>
        </w:tc>
        <w:tc>
          <w:tcPr>
            <w:tcW w:w="3948" w:type="dxa"/>
            <w:shd w:val="clear" w:color="auto" w:fill="auto"/>
            <w:vAlign w:val="center"/>
          </w:tcPr>
          <w:p>
            <w:pPr>
              <w:widowControl/>
              <w:jc w:val="center"/>
              <w:textAlignment w:val="center"/>
              <w:rPr>
                <w:rFonts w:ascii="黑体" w:hAnsi="黑体" w:eastAsia="黑体" w:cs="黑体"/>
                <w:color w:val="000000"/>
                <w:sz w:val="21"/>
                <w:szCs w:val="21"/>
              </w:rPr>
            </w:pPr>
            <w:r>
              <w:rPr>
                <w:rFonts w:hint="eastAsia" w:ascii="黑体" w:hAnsi="黑体" w:eastAsia="黑体" w:cs="黑体"/>
                <w:color w:val="000000"/>
                <w:kern w:val="0"/>
                <w:sz w:val="21"/>
                <w:szCs w:val="21"/>
                <w:lang w:bidi="ar"/>
              </w:rPr>
              <w:t>技术名称</w:t>
            </w:r>
          </w:p>
        </w:tc>
        <w:tc>
          <w:tcPr>
            <w:tcW w:w="0" w:type="auto"/>
            <w:shd w:val="clear" w:color="auto" w:fill="auto"/>
            <w:vAlign w:val="center"/>
          </w:tcPr>
          <w:p>
            <w:pPr>
              <w:widowControl/>
              <w:jc w:val="center"/>
              <w:textAlignment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推荐单位</w:t>
            </w:r>
          </w:p>
        </w:tc>
        <w:tc>
          <w:tcPr>
            <w:tcW w:w="0" w:type="auto"/>
            <w:shd w:val="clear" w:color="auto" w:fill="auto"/>
            <w:vAlign w:val="center"/>
          </w:tcPr>
          <w:p>
            <w:pPr>
              <w:widowControl/>
              <w:jc w:val="center"/>
              <w:textAlignment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钢铁行业烟气多污染物超低排放智能化高效控制技术及成套装备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山东国舜建设集团有限公司</w:t>
            </w:r>
          </w:p>
        </w:tc>
        <w:tc>
          <w:tcPr>
            <w:tcW w:w="0" w:type="auto"/>
            <w:shd w:val="clear" w:color="auto" w:fill="auto"/>
            <w:vAlign w:val="center"/>
          </w:tcPr>
          <w:p>
            <w:pPr>
              <w:widowControl/>
              <w:spacing w:line="300" w:lineRule="exact"/>
              <w:jc w:val="center"/>
              <w:rPr>
                <w:rFonts w:ascii="仿宋_GB2312" w:hAnsi="仿宋_GB2312" w:eastAsia="仿宋_GB2312"/>
                <w:color w:val="000000"/>
                <w:kern w:val="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水泥工业高温烟尘趋零排放用滤料制备成套技术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中材科技膜材料（山东）有限公司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磁悬浮离心鼓风机综合节能技术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山东天瑞重工有限公司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二氧化碳工业固定利用工程技术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混合溶剂金属膜干法回收成套技术工艺</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山东公正环境科技有限公司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烟气无触媒除酸脱硝技术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青岛惠城环保科技股份有限公司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溶剂回收型VOCs治理连续吸脱附成套技术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淄博鹏达环保科技有限公司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淄博市生态环境局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一种低成本高功效的生态降解地膜覆盖栽培技术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山东天壮环保科技有限公司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CO-CH-SCR催化剂制备关键技术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山东江宇环保科技有限公司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日照科技局市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蒸汽锅炉节能装置制备技术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胜利油田顺天节能技术有限公司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高效吸收式热泵技术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青岛东方热谷节能技术工程有限公司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山东节能协会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高辐射覆层节能技术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山东慧敏科技开发有限公司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太阳能无霜式双源热泵供暖系统集成应用技术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山东阳光博士太阳能工程有限公司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无动力沸腾强化传热技术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山东速腾新能源科技有限公司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热网分布式输配供热技术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烟台东昌供热有限责任公司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10MW及以上型号分体式智能化风力发电叶片模具制备技术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山东双一科技股份有限公司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低温施工环境用环保型冷拌沥青的制备及路面快速冷铺技术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山东省交通科学研究院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基于有机固废的重金属污染土壤生态修复集成技术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山东环保产业集团有限公司、青岛理工大学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一种利用复合微生物巢处理粪水的技术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山东省饲料兽药质量检验中心</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省畜牧兽医局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循环氨水余热利用节能装备系统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山东巨金通博节能科技有限公司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山东节能协会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电机系统双筒型永磁调速节能技术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青岛斯普瑞能源科技有限公司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智能高速双工位多线切割设备生产技术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烟台力凯数控科技有限公司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智能永磁直驱技术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山东欧瑞安电气有限公司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炉渣混凝土复合保温板现浇墙体保温系统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山东隆济时节能科技股份有限公司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低温真空浓缩干燥及蒸汽余热回收利用节能技术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荣成惠德环保科技有限公司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河口多级人工湿地运行保障技术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头孢抗生素废水脱盐与COD达标处理产业化技术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山东蓝然环境科技有限公司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绿色环保超支化淀粉基破乳剂生产技术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威海晨源分子新材料有限公司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海水及苦咸水淡化反渗透膜阻垢剂及其制备工艺</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山东黄三角环保科技产业园有限公司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炼化废水高效处理菌剂研发及应用关键技术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黄河三角洲京博化工研究院有限公司、山东海景天环保科技股份公司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基于顺序拌和技术的抗裂型水泥稳定碎石应用技术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山东省交通科学研究院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湿垃圾及农业有机废弃物高效处理技术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山东劲牛集团股份有限公司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污泥深度处理及药剂制备关键技术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山东益源环保科技有限公司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污泥低温干化技术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中节能润达（烟台）环保股份有限公司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瀑落式回转窑制备轻骨料的生产工艺与成套技术装备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山东恒远利废技术股份有限公司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基于区块链技术的碳达峰碳中和数据质量保障体系</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山东罗克佳华科技有限公司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大气细颗粒物时空演化过程精准溯源方法和技术装备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淄博青禾检测科技有限公司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2021年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智能无人船水质监测系统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威海天帆智能科技有限公司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高效节能磁悬浮真空泵技术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山东天瑞重工有限公司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超高温好氧发酵技术及有机固废超高温好氧发酵产物资源化碳汇处置技术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日照市水务集团污水处理有限公司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工业连续化含油污泥热解技术及装备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济南恒誉环保科技股份有限公司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船用低速柴油机尾气脱硝技术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中国船舶重工集团柴油机有限公司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啤酒废液与市政污水协同处置项目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青岛水务集团环境能源有限公司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工业废水改良型Fenton耦合络合除氟深度处理技术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山东省资源环境建设集团有限公司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基于富磁填料强化泥膜共生反硝化技术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山东华城工程技术有限公司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萘系下游产品生产终端废液资源化利用副产工业石膏技术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枣庄市泰瑞精细化工有限公司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油田作业用水水质提升和新能源加热一体化技术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森诺科技有限公司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高效生态农业分离膜</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山东净泽膜科技有限公司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49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维生素C生产过程高盐废水联产回收利用技术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鲁维制药集团有限公司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北斗精准时空赋能移动污染源碳减排关键技术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山东天星北斗信息科技有限公司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油烟防火净化网</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山东六成信息技术有限公司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柔性面层绿色生态边坡防护技术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青岛瑞源工程集团有限公司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管辅多相流混输技术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山东管辅能源科技有限公司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绿色稀土系列脱硝催化剂</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山东东源新材料科技有限公司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内燃机后处理蜂窝陶瓷技术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山东国瓷功能材料股份有限公司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移动源排放减污降碳技术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山东吉利达能源科技有限公司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电解铝生产线脱硫脱氟除尘一体化装备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威海市正大环保设备股份有限公司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沥青路面施工期能耗及排放监测、评估与减量化关键技术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山东省交通科学研究院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59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工业废气挥发性有机物蓄热式催化氧化技术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山东环保产业集团有限公司、青岛西子环保研究院有限公司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省生态环境厅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太阳能/空气能热泵蒸汽供应系统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山东力诺瑞特新能源有限公司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面向大规模新能源并网消纳的储能系统协调控制技术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山东电工电气集团有限公司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真空相变换热系统设备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山东鲁润热能科技有限公司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中深层地热地埋管热泵低碳供能关键技术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深能科技(山东)有限公司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“光储充”一体供电系统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青岛鼎信通讯股份有限公司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Digi-P&amp;T工艺冷却水系统能效控制技术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淄博百时得能源环保科技有限公司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地热能双能双效空调</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山东一村空调有限公司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绿色生物质低碳能源</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山东国元新材料有限公司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回转窑表面余热回收夏季制冷与冬季供暖技术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山东峄榴农业科技有限公司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69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CO</w:t>
            </w:r>
            <w:r>
              <w:rPr>
                <w:rStyle w:val="24"/>
                <w:rFonts w:ascii="Cambria Math" w:hAnsi="Cambria Math" w:eastAsia="仿宋_GB2312" w:cs="Cambria Math"/>
                <w:sz w:val="21"/>
                <w:szCs w:val="21"/>
                <w:lang w:bidi="ar"/>
              </w:rPr>
              <w:t>₂</w:t>
            </w:r>
            <w:r>
              <w:rPr>
                <w:rStyle w:val="23"/>
                <w:rFonts w:hint="default" w:ascii="仿宋_GB2312" w:hAnsi="仿宋_GB2312" w:eastAsia="仿宋_GB2312"/>
                <w:sz w:val="21"/>
                <w:szCs w:val="21"/>
                <w:lang w:bidi="ar"/>
              </w:rPr>
              <w:t>采收率提升与地质封存技术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德仕能源科技集团股份有限公司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集装箱储能系统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东营昆宇电源科技有限公司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锅炉烟气CO</w:t>
            </w:r>
            <w:r>
              <w:rPr>
                <w:rStyle w:val="24"/>
                <w:rFonts w:ascii="Cambria Math" w:hAnsi="Cambria Math" w:eastAsia="仿宋_GB2312" w:cs="Cambria Math"/>
                <w:sz w:val="21"/>
                <w:szCs w:val="21"/>
                <w:lang w:bidi="ar"/>
              </w:rPr>
              <w:t>₂</w:t>
            </w:r>
            <w:r>
              <w:rPr>
                <w:rStyle w:val="23"/>
                <w:rFonts w:hint="default" w:ascii="仿宋_GB2312" w:hAnsi="仿宋_GB2312" w:eastAsia="仿宋_GB2312"/>
                <w:sz w:val="21"/>
                <w:szCs w:val="21"/>
                <w:lang w:bidi="ar"/>
              </w:rPr>
              <w:t>捕集及制氮技术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东营市港城热力有限公司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工业烟气二氧化碳捕集矿化大宗固废协同制备负碳建材技术与成套装备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潍坊华能建筑科技有限公司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基于分布式能源供应的太阳能复合空气能集热蓄热技术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华春新能源股份有限公司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分级布置的热管式烟气余热回收系统及其自动控制方法</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临沂智慧新能源科技有限公司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悬浮床-固定床组合加氢工艺生产二代生物柴油技术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中国科学院青岛生物能源与过程研究所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棕壤区小麦-玉米轮作周年控氮磷增碳综合技术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青岛农业大学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工矿废弃地植被恢复与生态修复技术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青岛冠中生态股份有限公司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有机固废高温裂解资源化处理技术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山东中彩环保设备集团股份有限公司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79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有机固废气化燃烧即时处置利用技术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山东百川同创能源有限公司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废盐微波热解析处置技术及装备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山东产研绿洲环境产业技术研究院有限公司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固体废物制备装配式建筑绿色轻质墙材智能化装备核心技术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山东天意机械股份有限公司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秸秆饲草料高效优质青贮技术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山东健源生物科技有限公司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微生物诱导碳酸盐沉积改性固化赤泥工程利用技术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山东科技大学、山东海逸交通科技有限公司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麦茬稻秸秆精细化还田绿色节肥增效技术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山东省农业科学院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有机固废集中堆肥处理利用技术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山东省农业机械科学研究院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冶铝赤泥道路工程资源化再生利用技术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山东省交通科学研究院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海水养殖渔业园区池塘尾水净化处理技术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山东省海洋科学研究院(青岛国家海洋科学研究中心)</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山东省海洋科学研究院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混氨和混氢绿色低碳燃烧关键技术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山东同智创新能源科技股份有限公司、齐鲁工业大学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89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绿色高效转炉少渣冶炼技术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山东泰山钢铁集团有限公司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制浆造纸废水沼气回收综合利用技术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东营华泰新能源科技有限公司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健康环保型超纤内饰材料</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山东昌诺新材料科技有限公司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高品质硫酸二甲酯连续化生产技术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山东凯瑞英材料科技有限公司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新型绿色铸造材料-铸元素</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山东旭光得瑞高新材料股份有限公司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智能动态泄漏监测系统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山东甲子创新科技有限公司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互联网+挥发性有机物无组织排放检测技术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山东经邦环保科技有限公司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土壤/沉积物有机碳光谱速测技术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山东省科学院海洋仪器仪表研究所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齐鲁工业大学（山东省科学院）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能源站节能管控系统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青岛艾德森物联科技有限公司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基于能源大数据的“碳达峰碳中和”进程监控策略</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国网山东省电力公司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国网山东省电力公司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99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水泥土复合桩技术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山东省建筑科学研究院有限公司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低成本既有建筑超低能耗改造技术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青岛科瑞新型环保材料集团有限公司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2022年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废旧轮胎(橡胶)智能化连续裂解装备与炭黑深加工成套设备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青岛伊克斯达智能装备有限公司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工业废气CO</w:t>
            </w:r>
            <w:r>
              <w:rPr>
                <w:rFonts w:hint="eastAsia" w:ascii="仿宋_GB2312" w:hAnsi="仿宋_GB2312" w:eastAsia="仿宋_GB2312" w:cs="黑体"/>
                <w:color w:val="000000"/>
                <w:kern w:val="0"/>
                <w:sz w:val="21"/>
                <w:szCs w:val="21"/>
                <w:vertAlign w:val="subscript"/>
                <w:lang w:bidi="ar"/>
              </w:rPr>
              <w:t>2</w:t>
            </w:r>
            <w:r>
              <w:rPr>
                <w:rFonts w:hint="eastAsia" w:ascii="仿宋_GB2312" w:hAnsi="仿宋_GB2312" w:eastAsia="仿宋_GB2312" w:cs="黑体"/>
                <w:color w:val="000000"/>
                <w:kern w:val="0"/>
                <w:sz w:val="21"/>
                <w:szCs w:val="21"/>
                <w:lang w:bidi="ar"/>
              </w:rPr>
              <w:t>捕集矿化制备负碳板材关键技术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山东京韵泰博新材料科技有限公司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基于气浮轴承的风机高效节能技术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山东华东风机有限公司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油田用电动修井机电能控制及储能技术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胜利油田利丰石油设备制造有限公司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船舶双燃料发动机电控多点喷射系统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潍坊力创电子科技有限公司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普适性场地有机污染生态堆修复技术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山东迈科珍生物科技有限公司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新能源轨道机车技术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山东华车能源科技有限公司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生物膜耦合厌氧氨氧化绿色低碳污水脱氮关键技术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青岛思普润水处理股份有限公司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109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柴油车蜂窝陶瓷颗粒捕集器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山东奥福环保科技股份有限公司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聚酯高分子材料的化学催化解聚循环闭环技术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中国科学院青岛生物能源与过程研究所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中国科学院青岛生物能源与过程研究所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用于废热发电的高速磁悬浮发电机技术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山东天瑞重工有限公司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负碳生物天然气产业链技术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中国科学院青岛生物能源与过程研究所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中国科学院青岛生物能源与过程研究所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浒苔无害化处理及资源化利用技术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青岛海大生物集团股份有限公司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出租车走航大气监测系统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山东诺方电子科技有限公司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高性能复合胶凝材料</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山东永正产业技术研究院有限公司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工业废水低成本近零排放技术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欣格瑞（山东）环境科技有限公司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地源热泵空调系统能效提升技术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山东华科规划建筑设计有限公司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泵送煤矸石充填开采成套技术与装备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山东恒驰矿业装备科技有限公司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119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轨道交通地下车站永临结合预制装配技术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济南交通发展投资有限公司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空天信息大数据支持的火灾监测及生态影响评估技术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青岛星科瑞升信息科技有限公司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短流程低能耗高品质砂石制备技术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枣庄鑫金山智能装备有限公司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百兆瓦级先进压缩空气储能技术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中储国能（山东）电力能源有限公司、中储国能（北京）技术有限公司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窑炉协同处置污泥资源化技术与装备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山东省凯麟环保设备股份有限公司、山东聚祥机械股份有限公司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农村污水低碳资源化处理技术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山东农业大学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高压电极锅炉水蓄热储能技术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山东北辰机电设备股份有限公司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医用药品冷藏箱智控碳氢和智感除雾综合节能技术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青岛海尔生物医疗股份有限公司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脱稳耦合平板膜法矿井水近零排放技术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烟台金正环保科技有限公司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循环水智能控制系统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山东大禹水处理有限公司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129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土壤重金属微生物原位钝化修复技术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山东碧蓝生物科技有限公司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石膏制硫酸联产水泥装置协同裂解含硫废弃物技术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山东鲁北企业集团总公司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一种快速启动厌氧氨氧化高效脱氮的工业水污染处理技术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山东美泉环保科技有限公司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前置催化氧化生物流化床技术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山东华城工程技术有限公司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活性炭微波再生一体化技术及装备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山东产研绿洲环境产业技术研究院有限公司、山东恒泰利华环境科技有限公司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环保智能用电工况监管系统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山东益源环保科技有限公司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余热回收利用高温热泵蒸汽机组技术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烟台欧森纳地源空调股份有限公司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难处理超细黄金尾砂高效浓密与均质充填技术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山东国环固废创新科技中心有限公司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基于电化学传感的海洋二氧化碳分压在线监测系统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中国科学院烟台海岸带研究所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节能免维护新风机组及新一代新风系统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山东帅迪医疗科技有限公司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139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城市水系净水除臭生物酶</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山东硕洁生物科技股份有限公司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基于绿色高性能混凝土的长耐久型交通基础设施预制构件智能制造与低碳建造关键技术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山东大学</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一种超雾化溶气气浮装置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山东和正环保工程有限公司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焦炉地下烟道气的阶梯余热利用及减碳排放装置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山东岱荣节能环保科技有限公司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绿色建筑节能监管控制技术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同方德诚（山东）科技股份公司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基于变压吸附法的油气回收技术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青岛飞普思环保科技有限公司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物联超低环温空气源热泵机组技术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青岛海尔空调电子有限公司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梯度渗透-脱盐水处理近零排放技术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淄博格瑞水处理工程有限公司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高温固体物料余热利用技术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山东昊通节能服务股份有限公司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高效缠绕管换热设备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山东京博装备制造安装有限公司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149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农牧废弃物高负荷厌氧发酵与沼液生态化利用技术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山东省农业科学院畜牧兽医研究所、山东环保产业集团有限公司、山东景鑫环保科技有限公司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污水应急处置全量化工艺</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潍坊学院、山东尚科环境工程有限公司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一种降低氨逃逸率的脱硝烟气再回流技术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山东一然环保科技有限公司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多源有机固体废弃物资源化处置热解技术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中车山东机车车辆有限公司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集装箱式液冷储能系统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东营昆宇电源科技有限公司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高浓度有机污染土壤高效生态修复技术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东营金岛环境工程有限公司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挥发性有机物多温区冷凝梯级回收利用装置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冰轮环境技术股份有限公司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免排放铝合金高性能膜新型表面处理技术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山东华建铝业集团有限公司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高效低阻新型纳米纤维过滤材料制备技术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山东奥博环保科技有限公司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城镇污水零碳源投加深度脱氮除磷技术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青岛水务集团环境能源有限公司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159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无组织粉尘近零排放治理技术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国能（山东）能源环境有限公司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多组份液相蒸馏制取浓氨水技术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山东泰山钢铁集团有限公司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预应力钢管构架式风电机组塔架</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青岛华斯壮能源科技有限公司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基于疏导取热的污水及地表水热泵供热装备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青岛科创蓝新能源股份有限公司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纳米分子膜全自动制肥装置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青岛绿色家园环境设备有限公司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生猪养殖绿色低碳关键技术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青岛市畜牧工作站（青岛市畜牧兽医研究所）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高功率激光-电弧复合焊接技术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哈焊国创（青岛）焊接工程创新中心有限公司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智能多线切割机关键技术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烟台力凯数控科技有限公司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水泥窑燃料替代关键技术与装备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山东大学、北京中投润天环保科技有限公司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设施农业氮磷污染负荷削减技术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山东省农业科学院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169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用于脱除有机污染物、总氮、总磷的生物基可再生吸附材料</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中国科学院青岛生物能源与过程研究所</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中国科学院青岛生物能源与过程研究所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新型炭素焙烧烟气治理技术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索通发展股份有限公司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潆射多能供热机组</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威海震宇智能科技股份有限公司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自养－异养耦合脱碳技术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黄河三角洲京博化工研究院有限公司、山东海景天环保科技股份公司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受损边坡生态修复关键技术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青岛冠中生态股份有限公司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工厂化病死畜禽无害化处理利用技术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山东省农业机械科学研究院</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氢能分布式发电技术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德州新动能铁塔发电有限公司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烟气SDS脱硫+三塔SCR脱硝+余热蒸发提盐技术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山东力净环保科技有限公司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双箱蓄热式换热器余热回收技术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山东一然环保科技有限公司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生物基纤维材料阻燃技术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山东奥博环保科技有限公司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179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2023年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养殖废水沼气化利用碳减排技术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山东民和生物科技股份有限公司</w:t>
            </w:r>
          </w:p>
        </w:tc>
        <w:tc>
          <w:tcPr>
            <w:tcW w:w="0" w:type="auto"/>
            <w:shd w:val="clear" w:color="auto" w:fill="auto"/>
            <w:vAlign w:val="center"/>
          </w:tcPr>
          <w:p>
            <w:pPr>
              <w:spacing w:line="30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基于电厂废气微藻固碳及联产微藻生物肥和饲料技术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山发海岳环境科技（山东）股份有限公司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工业炉窑烟气多污染物协同超低排放及节能系统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香山红叶集团有限公司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基于全自主材料的数智化燃料电池热电联供系统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济南绿动氢能科技有限公司、国家电投集团氢能科技发展有限公司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耐高温集成化水处理技术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烟台金正环保科技有限公司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光储充放一体化新能源微网系统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特来电新能源股份有限公司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双粗双精四塔四效节能蒸馏生产燃料乙醇工艺技术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肥城金塔酒精化工设备有限公司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玉米绿色低碳生产关键技术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山东省农业科学院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钢铁企业含铁含锌尘泥综合回收利用技术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山东鲁新国合节能环保科技有限公司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厌氧氨氧化高效脱氮与节能降碳关键技术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青岛思普润水处理股份有限公司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189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可移动式城乡污水应急处置关键技术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潍坊学院、山东尚科环境工程有限公司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构网型分布式云储能技术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国网山东综合能源服务有限公司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智慧网络能源储能技术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昆宇电源股份有限公司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水处理用自净型鳃式微孔曝气技术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普民环保科技有限公司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一种绿色节能溶气气浮机</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山东一普环境科技有限公司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密闭式储存装卸技术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淄博诺盾工程技术有限公司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钢化联合特色循环项目的研究与实施</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山东阿斯德科技有限公司、石横特钢集团有限公司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污水处理厂污泥炭化-活化及资源化利用项目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山东泰亚环保科技有限公司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高能耗工业循环水系统节能减排增效技术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青岛库邦新材料技术有限公司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低磷阻垢缓蚀剂技术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山东化友水处理技术有限公司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199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羟基萘废液资源化利用副产高纯度硫酸钠技术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枣庄市泰瑞精细化工有限公司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刮板低温真空干燥结晶系统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威海润蓝水处理设备有限公司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超低泄漏呼吸阀技术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中石化安全工程研究院有限公司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干熄焦烟气环型分布式干法脱硫技术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山东炜杰化工科技有限公司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蓄热球循环式生物质热解炭化技术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山东祥桓环境科技有限公司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规模化新能源接入的电网功率平衡能力评估与关键技术及应用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山东大学</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高性能碱性电解水混凝土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青岛青建新型材料集团有限公司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LZJS燃煤催化剂使用协议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烟台市高新利华节能科技有限公司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海水及苦咸水淡化反渗透膜阻垢剂及应用技术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山东黄三角环保科技产业园有限公司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油气回收专用吸附材料及级配近零排放技术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中石化安全工程研究院有限公司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基于物联网的低浓度有机废气活性炭分散吸附+集中再生综合治理技术与应用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山东格瑞德环保科技有限公司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基于储能电站支撑区域绿色发展的资源灵活优化调度与储能电站价值挖掘</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三峡新能源（庆云）有限公司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有机污染场地缓释氧生物刺激材料原位修复技术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中石化安全工程研究院有限公司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超临界流体辅助废橡胶绿色再生技术及装备研究与应用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青岛科技大学广饶橡胶工业研究院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餐厨垃圾干发酵关键技术及装备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山东省科学院能源研究所</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齐鲁工业大学（山东省科学院）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油气低碳节能流动的促进剂开发和应用技术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山东石油化工学院、山东华油万达化学有限公司、山东新港化工有限公司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用于水质有机污染物光谱在线监测的预警技术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济南冠鼎信息科技有限公司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智能大气腐蚀检测仪</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国网山东省电力公司电力科学研究院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国网山东省电力公司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生活垃圾转运站渗滤液全量化绿色低碳处理工艺技术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上海久特环境科技有限公司、山东省住房和城乡建设发展研究院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强化微生态修复技术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杰瑞环保科技有限公司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219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模块化高效机房能效提升技术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济南金孚瑞热能设备制造有限公司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污水脱氮除磷脱硫技术及装备集成</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日照城投环境科技集团有限公司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强化耦合生物膜反应器技术及应用管理系统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山东农业工程学院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有机固废双流化床钙化学链气化制氢技术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山东省科学院能源研究所</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齐鲁工业大学（山东省科学院）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建筑废弃物资源化“零碳”再生技术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青岛绿帆再生建材有限公司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墨龙绿色高效熔融还原高纯生铁冶炼关键技术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山东墨龙石油机械股份有限公司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循环流化床锅炉两级联合脱硫智慧控制技术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国能（山东）能源环境有限公司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生活和工业废铝再生循环利用技术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山东宏顺循环科技有限公司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国网山东莱芜供电公司储能高效调频示范应用项目</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国网山东省电力公司莱芜供电公司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国网山东省电力公司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金精矿氰渣无害化处置与资源化利用关键技术研究及应用</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招远市招金金合科技有限公司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229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涂料废渣资源化利用技术与自动化生产线</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泰安乐邦环保科技有限公司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退役铅酸蓄电池谐振修复及绿色循环利用技术及应用</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国网山东省电力公司莱芜供电公司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国网山东省电力公司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农业有机废弃物绿色低碳肥料化利用关键技术</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山东农业工程学院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中金岭南两段短流程炼铜工艺</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山东中金岭南铜业有限责任公司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绿色纤维素膜清洁生产新工艺及产业化</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山东中科恒联生物基材料有限公司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海洋牧场清洁低碳用能技术</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国网山东省电力公司威海供电公司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国网山东省电力公司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光伏电站集散式调功系统</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水发集团有限公司、水发兴业能源（珠海）有限公司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离心式压缩机余热回收利用及高效站房技术</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山东豪迈机械制造有限公司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余热深度回收利用及供暖项目</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青岛安清源新能源科技有限公司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激光增材制造技术</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山东海纳智能装备科技股份有限公司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239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余热回收节能烘干技术与装备</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青岛海科佳智能科技股份有限公司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农业废弃物资源化过程中轻简化利用技术</w:t>
            </w:r>
          </w:p>
        </w:tc>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山东捷利尔肥业有限公司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城市小尺度大气污染预警溯源系统</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山东省环境保护科学研究设计院有限公司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tcBorders>
              <w:top w:val="nil"/>
              <w:left w:val="single" w:color="auto" w:sz="4" w:space="0"/>
              <w:bottom w:val="single" w:color="auto" w:sz="4" w:space="0"/>
              <w:right w:val="single" w:color="auto" w:sz="4" w:space="0"/>
            </w:tcBorders>
            <w:shd w:val="clear" w:color="auto" w:fill="auto"/>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氢燃料电池用安全零功耗引射器技术</w:t>
            </w:r>
          </w:p>
        </w:tc>
        <w:tc>
          <w:tcPr>
            <w:tcW w:w="0" w:type="auto"/>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仿宋_GB2312" w:hAnsi="仿宋_GB2312" w:eastAsia="仿宋_GB2312" w:cs="黑体"/>
                <w:color w:val="000000"/>
                <w:kern w:val="0"/>
                <w:sz w:val="21"/>
                <w:szCs w:val="21"/>
                <w:lang w:bidi="ar"/>
              </w:rPr>
            </w:pPr>
            <w:r>
              <w:rPr>
                <w:rFonts w:hint="eastAsia" w:ascii="仿宋_GB2312" w:hAnsi="仿宋_GB2312" w:eastAsia="仿宋_GB2312" w:cs="黑体"/>
                <w:color w:val="000000"/>
                <w:kern w:val="0"/>
                <w:sz w:val="21"/>
                <w:szCs w:val="21"/>
                <w:lang w:bidi="ar"/>
              </w:rPr>
              <w:t>山东凯格瑞森能源科技有限公司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SCR脱硝精准喷氨智能控制系统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山东创宇能源科技股份有限公司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医用低温保存箱绿色高效斯特林制冷技术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青岛海尔生物医疗股份有限公司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农业农村有机废弃物多原料厌氧好氧协同处理技术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山东生态家园环保股份有限公司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海草床生态界面修复技术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烟台大学、山东省海洋资源与环境研究院、烟台市海洋经济研究院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以小麦湿面筋为原料制备小麦蛋白肽技术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滨州中裕食品有限公司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工业企业多能级多工质余热集中回收与梯级利用关键技术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山东岱荣节能环保科技有限公司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249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畜禽养殖粪污处理与区域耕地质量提升技术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青岛汇君环境能源工程有限公司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大宗钢渣固废专用高值化处理技术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山东埃尔派粉体科技股份有限公司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2024年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大掺量多源无机固废自保温建筑围护体系</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烟台三力轻质混凝土科技有限公司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精准曝气AO/MBR中水回用技术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山东宏达建设工程有限公司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基于机器学习的空气浓缩高盐废水系统装备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青岛达能环保设备股份有限公司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基于工艺与AI驱动的集约低碳型污水智能控制技术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青岛思普润水处理股份有限公司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膜曝气生物膜反应器水污染治理技术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青岛旗高扬环境科技有限公司、天津海之凰科技有限公司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农村生活污水末端综合治理技术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山东招金膜天股份有限公司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海绵城市零堵塞排水系统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兴合环保科技（山东）有限公司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工业废水零排放高端成套装备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山东建筑大学</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259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印染工业污泥深度脱水及高值资源化利用关键技术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青岛大学</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一种集成化高浊度/浓度污水处理技术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济南蓝海洋环保科技有限公司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矿山粉尘治理系统集成技术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潍坊天洁环保科技有限公司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仿宋_GB2312" w:eastAsia="仿宋_GB2312"/>
                <w:color w:val="000000" w:themeColor="text1"/>
                <w:kern w:val="0"/>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湿法脱硫除尘超净一体化技术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山东恒科环保设备有限公司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钙基脱硫剂工艺技术及应用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山东万达环保科技有限公司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高炉煤气微晶材料制备及干法精脱硫技术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山东洲蓝环保科技有限公司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生活垃圾渗沥液替代脱硝剂技术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泰安北控环境能源开发有限公司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面向钢铁行业复杂烟气细微粒子超净捕集技术及装备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海汇环保设备股份有限公司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活性炭吸附浓缩+催化燃烧废气处理设备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天宇（山东）橡塑制品有限公司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炭素行业焙烧沥青烟碳污协同治理成套装备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山东建筑大学、济南龙山炭素有限公司</w:t>
            </w:r>
          </w:p>
        </w:tc>
        <w:tc>
          <w:tcPr>
            <w:tcW w:w="0" w:type="auto"/>
            <w:tcBorders>
              <w:top w:val="single" w:color="auto" w:sz="4" w:space="0"/>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269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智能“热泵+”高效能源系统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山东宜美科节能服务有限责任公司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超导热管太阳能集热系统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山东阳光博士太阳能工程有限公司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锅炉烟气CO</w:t>
            </w:r>
            <w:r>
              <w:rPr>
                <w:rFonts w:hint="eastAsia" w:ascii="仿宋_GB2312" w:hAnsi="仿宋_GB2312" w:eastAsia="仿宋_GB2312" w:cs="黑体"/>
                <w:color w:val="000000"/>
                <w:kern w:val="0"/>
                <w:sz w:val="21"/>
                <w:szCs w:val="21"/>
                <w:vertAlign w:val="subscript"/>
                <w:lang w:bidi="ar"/>
              </w:rPr>
              <w:t>2</w:t>
            </w:r>
            <w:r>
              <w:rPr>
                <w:rFonts w:hint="eastAsia" w:ascii="仿宋_GB2312" w:hAnsi="仿宋_GB2312" w:eastAsia="仿宋_GB2312" w:cs="黑体"/>
                <w:color w:val="000000"/>
                <w:kern w:val="0"/>
                <w:sz w:val="21"/>
                <w:szCs w:val="21"/>
                <w:lang w:bidi="ar"/>
              </w:rPr>
              <w:t>捕集及制氮项目</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东营市港城热力有限公司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锅炉空预器智能在线清灰节能降碳技术装备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山东泓江智能设备有限公司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交直流混合柔性微电网系统集成技术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山东泰开直流技术有限公司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新型工业冷却设备节水消雾技术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山东贝诺冷却设备股份有限公司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新型微藻肥固氮降碳技术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德州地福来生物科技有限公司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规模化分布式光伏接入的省域配电网安全运行管控技术、装备及应用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国网山东省电力公司电力科学研究院</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省能源局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近海桩基固定式海上光伏关键技术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山东电力工程咨询院有限公司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省能源局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高压级联储能技术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新风光电子科技股份有限公司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省能源局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279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基于源荷互动的隧道能源自洽技术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山东省交通规划设计院集团有限公司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省能源局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3000吨级/日多喷嘴对置式粉煤气化成套技术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兖矿鲁南化工有限公司、山东能源集团煤气化新材料科技有限公司、山东兖矿国拓科技工程股份有限公司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省能源局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海岛生态修复关键技术研究及产业化</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青岛冠中生态股份有限公司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脱硫石膏资源化协同二氧化碳利用技术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国能（山东）能源环境有限公司</w:t>
            </w:r>
          </w:p>
        </w:tc>
        <w:tc>
          <w:tcPr>
            <w:tcW w:w="0" w:type="auto"/>
            <w:tcBorders>
              <w:top w:val="single" w:color="auto" w:sz="4" w:space="0"/>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废旧轮胎制备液体再生胶资源化循环利用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山东玲珑轮胎股份有限公司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旋流热振污泥资源化技术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山东驰盛新能源设备有限公司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现浇泡沫混凝土墙体技术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青岛中邦新材料科技有限公司</w:t>
            </w:r>
          </w:p>
        </w:tc>
        <w:tc>
          <w:tcPr>
            <w:tcW w:w="0" w:type="auto"/>
            <w:tcBorders>
              <w:top w:val="nil"/>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olor w:val="000000" w:themeColor="text1"/>
                <w:sz w:val="21"/>
                <w:szCs w:val="21"/>
                <w14:textFill>
                  <w14:solidFill>
                    <w14:schemeClr w14:val="tx1"/>
                  </w14:solidFill>
                </w14:textFill>
              </w:rPr>
            </w:pPr>
            <w:r>
              <w:rPr>
                <w:rFonts w:hint="eastAsia" w:ascii="仿宋_GB2312" w:hAnsi="仿宋_GB2312" w:eastAsia="仿宋_GB2312"/>
                <w:color w:val="000000" w:themeColor="text1"/>
                <w:sz w:val="21"/>
                <w:szCs w:val="21"/>
                <w14:textFill>
                  <w14:solidFill>
                    <w14:schemeClr w14:val="tx1"/>
                  </w14:solidFill>
                </w14:textFill>
              </w:rPr>
              <w:t>省住房城乡建设厅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多源固废协同制备赤泥基土木功能材料关键技术与示范</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山东大学</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微细粒尾矿膏体浓缩及充填技术与装备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山东科技大学</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分散式有机废弃物原位低温磁热分解技术及装备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山东建筑大学</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289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防发热新能源充电线缆绿色高效气冷技术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济南马世基智能环保科技有限公司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非粮生物基高性能橡胶油绿色制备技术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青岛福诺化工科技有限公司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畜禽养殖节能增效绿色生产技术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青岛市畜牧工作站（青岛市畜牧兽医研究所）</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燃料电池用高效节能防爆氢气循环泵技术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山东凯格瑞森能源科技有限公司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低碳低氮节能蒸汽机</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山东成越新能源科技有限公司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高效节能磁悬浮冷水（热泵）机组</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山东天瑞重工有限公司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超低氯丙醇含量的聚酰胺环氧氯丙烷湿强剂提纯技术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潍坊赛宝工业技术研究院有限公司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高效节能电力变压器</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山东鲁能泰山电力设备有限公司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中深层地热井改造井下换热技术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山东省地质矿产开发局第二水文地质工程地质大队（山东省鲁北地质工程勘察院）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基于设计溯源性思维和动态调适的中央空调能效提升技术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山东华科规划建筑设计有限公司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299</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基于数据流的智能纺纱工厂关键技术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山东魏桥纺织科技有限公司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300</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林下菌蝉协同共生生态循环技术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山东农业工程学院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301</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古树名木生长环境监测检测与预警技术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山东农业工程学院</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山东农业工程学院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302</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基于“三维荧光水质指纹技术”的智能化水质预警溯源系统</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华夏安健物联科技（青岛）有限公司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303</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浪潮区域碳资产管理平台</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山东浪潮智能生产技术有限公司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304</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建筑碳减排智慧管控集成技术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同方德诚（山东）科技股份公司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305</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低传热气凝胶保温建材制备关键技术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中建材科创新技术研究院（山东）有限公司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306</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中小型反渗透海水淡化技术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威海市海水综合利用产业技术研究中心</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307</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新能源驻车空调光伏补电关键应用技术</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山东田河新能源科技有限公司</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308</w:t>
            </w:r>
          </w:p>
        </w:tc>
        <w:tc>
          <w:tcPr>
            <w:tcW w:w="1090" w:type="dxa"/>
            <w:shd w:val="clear" w:color="auto" w:fill="auto"/>
            <w:vAlign w:val="center"/>
          </w:tcPr>
          <w:p>
            <w:pPr>
              <w:widowControl/>
              <w:jc w:val="center"/>
              <w:textAlignment w:val="center"/>
              <w:rPr>
                <w:rFonts w:eastAsia="仿宋_GB2312"/>
                <w:color w:val="000000"/>
                <w:sz w:val="21"/>
                <w:szCs w:val="21"/>
              </w:rPr>
            </w:pPr>
            <w:r>
              <w:rPr>
                <w:rFonts w:eastAsia="仿宋_GB2312"/>
                <w:color w:val="000000"/>
                <w:kern w:val="0"/>
                <w:sz w:val="21"/>
                <w:szCs w:val="21"/>
                <w:lang w:bidi="ar"/>
              </w:rPr>
              <w:t>2025年</w:t>
            </w:r>
          </w:p>
        </w:tc>
        <w:tc>
          <w:tcPr>
            <w:tcW w:w="3948" w:type="dxa"/>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数据中心冷板式液冷智能温控装备</w:t>
            </w:r>
          </w:p>
        </w:tc>
        <w:tc>
          <w:tcPr>
            <w:tcW w:w="0" w:type="auto"/>
            <w:shd w:val="clear" w:color="auto" w:fill="auto"/>
            <w:vAlign w:val="center"/>
          </w:tcPr>
          <w:p>
            <w:pPr>
              <w:widowControl/>
              <w:spacing w:line="300" w:lineRule="exact"/>
              <w:jc w:val="center"/>
              <w:textAlignment w:val="center"/>
              <w:rPr>
                <w:rFonts w:ascii="仿宋_GB2312" w:hAnsi="仿宋_GB2312" w:eastAsia="仿宋_GB2312" w:cs="黑体"/>
                <w:color w:val="000000"/>
                <w:sz w:val="21"/>
                <w:szCs w:val="21"/>
              </w:rPr>
            </w:pPr>
            <w:r>
              <w:rPr>
                <w:rFonts w:hint="eastAsia" w:ascii="仿宋_GB2312" w:hAnsi="仿宋_GB2312" w:eastAsia="仿宋_GB2312" w:cs="黑体"/>
                <w:color w:val="000000"/>
                <w:kern w:val="0"/>
                <w:sz w:val="21"/>
                <w:szCs w:val="21"/>
                <w:lang w:bidi="ar"/>
              </w:rPr>
              <w:t>浪潮通信信息系统</w:t>
            </w:r>
          </w:p>
        </w:tc>
        <w:tc>
          <w:tcPr>
            <w:tcW w:w="0" w:type="auto"/>
            <w:shd w:val="clear" w:color="auto" w:fill="auto"/>
            <w:vAlign w:val="center"/>
          </w:tcPr>
          <w:p>
            <w:pPr>
              <w:spacing w:line="300" w:lineRule="exact"/>
              <w:jc w:val="center"/>
              <w:rPr>
                <w:rFonts w:ascii="仿宋_GB2312" w:hAnsi="仿宋_GB2312" w:eastAsia="仿宋_GB2312"/>
                <w:sz w:val="21"/>
                <w:szCs w:val="21"/>
              </w:rPr>
            </w:pPr>
            <w:r>
              <w:rPr>
                <w:rFonts w:hint="eastAsia" w:ascii="仿宋_GB2312" w:hAnsi="仿宋_GB2312" w:eastAsia="仿宋_GB2312"/>
                <w:sz w:val="21"/>
                <w:szCs w:val="21"/>
              </w:rPr>
              <w:t>省能源局</w:t>
            </w:r>
          </w:p>
        </w:tc>
      </w:tr>
    </w:tbl>
    <w:p>
      <w:pPr>
        <w:adjustRightInd w:val="0"/>
        <w:snapToGrid w:val="0"/>
        <w:spacing w:line="540" w:lineRule="exact"/>
        <w:ind w:firstLine="640" w:firstLineChars="200"/>
        <w:jc w:val="left"/>
        <w:outlineLvl w:val="0"/>
        <w:rPr>
          <w:rFonts w:eastAsia="仿宋_GB2312"/>
          <w:szCs w:val="32"/>
        </w:rPr>
      </w:pPr>
    </w:p>
    <w:sectPr>
      <w:type w:val="continuous"/>
      <w:pgSz w:w="16838" w:h="11906" w:orient="landscape"/>
      <w:pgMar w:top="1587" w:right="2098" w:bottom="1474" w:left="1984"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jE5OGE4Y2M1NWRkNmZkZDA0N2Q3YjhhYzE5NmYifQ=="/>
  </w:docVars>
  <w:rsids>
    <w:rsidRoot w:val="00770F82"/>
    <w:rsid w:val="00027C68"/>
    <w:rsid w:val="00097202"/>
    <w:rsid w:val="000A35D4"/>
    <w:rsid w:val="000A6D81"/>
    <w:rsid w:val="000D2223"/>
    <w:rsid w:val="000F57BF"/>
    <w:rsid w:val="00113172"/>
    <w:rsid w:val="00150187"/>
    <w:rsid w:val="0015071F"/>
    <w:rsid w:val="00160A53"/>
    <w:rsid w:val="0018330E"/>
    <w:rsid w:val="001A222E"/>
    <w:rsid w:val="001B5E56"/>
    <w:rsid w:val="002257E9"/>
    <w:rsid w:val="002B7185"/>
    <w:rsid w:val="002F15AB"/>
    <w:rsid w:val="003670A8"/>
    <w:rsid w:val="00384C83"/>
    <w:rsid w:val="00387F1F"/>
    <w:rsid w:val="003F08EE"/>
    <w:rsid w:val="0042219D"/>
    <w:rsid w:val="00470169"/>
    <w:rsid w:val="004B3BD2"/>
    <w:rsid w:val="004D6FA0"/>
    <w:rsid w:val="00551160"/>
    <w:rsid w:val="00552527"/>
    <w:rsid w:val="00592FE9"/>
    <w:rsid w:val="005F3C3B"/>
    <w:rsid w:val="00610CF9"/>
    <w:rsid w:val="006160CB"/>
    <w:rsid w:val="00620481"/>
    <w:rsid w:val="00626A4F"/>
    <w:rsid w:val="00662C47"/>
    <w:rsid w:val="006B31FA"/>
    <w:rsid w:val="006E6FE2"/>
    <w:rsid w:val="007017FB"/>
    <w:rsid w:val="00705CBD"/>
    <w:rsid w:val="00717703"/>
    <w:rsid w:val="00770F82"/>
    <w:rsid w:val="00836348"/>
    <w:rsid w:val="00855299"/>
    <w:rsid w:val="00882978"/>
    <w:rsid w:val="008E22CF"/>
    <w:rsid w:val="00907EA6"/>
    <w:rsid w:val="00910BD0"/>
    <w:rsid w:val="00951085"/>
    <w:rsid w:val="00A65751"/>
    <w:rsid w:val="00AD4E6E"/>
    <w:rsid w:val="00AF1F7C"/>
    <w:rsid w:val="00B34ACB"/>
    <w:rsid w:val="00B60B0D"/>
    <w:rsid w:val="00B6520A"/>
    <w:rsid w:val="00B90A8C"/>
    <w:rsid w:val="00BC675A"/>
    <w:rsid w:val="00BE6B42"/>
    <w:rsid w:val="00C4251B"/>
    <w:rsid w:val="00CD64DF"/>
    <w:rsid w:val="00D460D1"/>
    <w:rsid w:val="00D54D2D"/>
    <w:rsid w:val="00D61965"/>
    <w:rsid w:val="00D84CFF"/>
    <w:rsid w:val="00DA4265"/>
    <w:rsid w:val="00DA5CF2"/>
    <w:rsid w:val="00DC014E"/>
    <w:rsid w:val="00DC4940"/>
    <w:rsid w:val="00E256BE"/>
    <w:rsid w:val="00E602FB"/>
    <w:rsid w:val="00EB562C"/>
    <w:rsid w:val="00EC755C"/>
    <w:rsid w:val="00F41262"/>
    <w:rsid w:val="00FA63D9"/>
    <w:rsid w:val="00FB24F0"/>
    <w:rsid w:val="00FB2CEE"/>
    <w:rsid w:val="00FD7CBA"/>
    <w:rsid w:val="00FE7FDC"/>
    <w:rsid w:val="028D2F42"/>
    <w:rsid w:val="03BF009A"/>
    <w:rsid w:val="04394C57"/>
    <w:rsid w:val="048C5B49"/>
    <w:rsid w:val="06A43895"/>
    <w:rsid w:val="074B1659"/>
    <w:rsid w:val="08E41D65"/>
    <w:rsid w:val="08E43B13"/>
    <w:rsid w:val="0AB614DF"/>
    <w:rsid w:val="0B217C1D"/>
    <w:rsid w:val="0B492ADD"/>
    <w:rsid w:val="0CDA375D"/>
    <w:rsid w:val="0CEE0318"/>
    <w:rsid w:val="0CF41CB9"/>
    <w:rsid w:val="0E7D5F55"/>
    <w:rsid w:val="0E90407E"/>
    <w:rsid w:val="0F5072A2"/>
    <w:rsid w:val="0FDD3230"/>
    <w:rsid w:val="11AD4AFB"/>
    <w:rsid w:val="12AA05E2"/>
    <w:rsid w:val="177D0B4D"/>
    <w:rsid w:val="184C0AF1"/>
    <w:rsid w:val="189523E7"/>
    <w:rsid w:val="1B1C538E"/>
    <w:rsid w:val="1BFEDA13"/>
    <w:rsid w:val="1D8A2A83"/>
    <w:rsid w:val="20600532"/>
    <w:rsid w:val="238431B5"/>
    <w:rsid w:val="23A62696"/>
    <w:rsid w:val="24064BC6"/>
    <w:rsid w:val="240F2D9B"/>
    <w:rsid w:val="2634653D"/>
    <w:rsid w:val="27D524AA"/>
    <w:rsid w:val="27FC6629"/>
    <w:rsid w:val="29EBB6A3"/>
    <w:rsid w:val="2A790107"/>
    <w:rsid w:val="2AB36F1A"/>
    <w:rsid w:val="2B4029D3"/>
    <w:rsid w:val="2C526E62"/>
    <w:rsid w:val="2D504099"/>
    <w:rsid w:val="2D8D3ECA"/>
    <w:rsid w:val="31F87B40"/>
    <w:rsid w:val="336B0809"/>
    <w:rsid w:val="336D5AEE"/>
    <w:rsid w:val="33DF7227"/>
    <w:rsid w:val="36A91D74"/>
    <w:rsid w:val="36F32FEF"/>
    <w:rsid w:val="375DFD6F"/>
    <w:rsid w:val="377D835F"/>
    <w:rsid w:val="378D40D9"/>
    <w:rsid w:val="37FEE19E"/>
    <w:rsid w:val="39812B34"/>
    <w:rsid w:val="39FF482C"/>
    <w:rsid w:val="3A175247"/>
    <w:rsid w:val="3A3E27D3"/>
    <w:rsid w:val="3A8723CC"/>
    <w:rsid w:val="3B626996"/>
    <w:rsid w:val="3B9D77EA"/>
    <w:rsid w:val="3BA7084C"/>
    <w:rsid w:val="3BE92C13"/>
    <w:rsid w:val="3D5D91DC"/>
    <w:rsid w:val="3DBA4867"/>
    <w:rsid w:val="3DEB3BCA"/>
    <w:rsid w:val="3E6D3687"/>
    <w:rsid w:val="3EDD523A"/>
    <w:rsid w:val="3EE6791B"/>
    <w:rsid w:val="3EEFBC1D"/>
    <w:rsid w:val="3FBAE379"/>
    <w:rsid w:val="3FC7B4B5"/>
    <w:rsid w:val="3FDF70D3"/>
    <w:rsid w:val="3FFD8740"/>
    <w:rsid w:val="4218129D"/>
    <w:rsid w:val="42666D6B"/>
    <w:rsid w:val="42726CD3"/>
    <w:rsid w:val="46B01836"/>
    <w:rsid w:val="474D4056"/>
    <w:rsid w:val="475A934A"/>
    <w:rsid w:val="4C83676C"/>
    <w:rsid w:val="4CF7BF07"/>
    <w:rsid w:val="4EA824BA"/>
    <w:rsid w:val="4EB3EDF2"/>
    <w:rsid w:val="506F671E"/>
    <w:rsid w:val="50AD5D09"/>
    <w:rsid w:val="50EF2822"/>
    <w:rsid w:val="53263312"/>
    <w:rsid w:val="54FEEDBD"/>
    <w:rsid w:val="55713605"/>
    <w:rsid w:val="55DF3360"/>
    <w:rsid w:val="56E12B80"/>
    <w:rsid w:val="57CC254A"/>
    <w:rsid w:val="57D32C11"/>
    <w:rsid w:val="57DD1426"/>
    <w:rsid w:val="57F7E61E"/>
    <w:rsid w:val="58D75E75"/>
    <w:rsid w:val="59DE3233"/>
    <w:rsid w:val="59ED3476"/>
    <w:rsid w:val="59FF679F"/>
    <w:rsid w:val="5A290952"/>
    <w:rsid w:val="5A643739"/>
    <w:rsid w:val="5A8262B5"/>
    <w:rsid w:val="5B774714"/>
    <w:rsid w:val="5B7C2D04"/>
    <w:rsid w:val="5B882075"/>
    <w:rsid w:val="5E3E6996"/>
    <w:rsid w:val="5EDD9127"/>
    <w:rsid w:val="5F771297"/>
    <w:rsid w:val="5FBBA55D"/>
    <w:rsid w:val="5FE26C3E"/>
    <w:rsid w:val="5FFB1377"/>
    <w:rsid w:val="5FFDA5E6"/>
    <w:rsid w:val="62A71ADB"/>
    <w:rsid w:val="63634A59"/>
    <w:rsid w:val="636FD95F"/>
    <w:rsid w:val="642607CF"/>
    <w:rsid w:val="66310DDA"/>
    <w:rsid w:val="67A79CB1"/>
    <w:rsid w:val="68437083"/>
    <w:rsid w:val="6B7FFB6D"/>
    <w:rsid w:val="6BEB613F"/>
    <w:rsid w:val="6C9408D4"/>
    <w:rsid w:val="6CB26586"/>
    <w:rsid w:val="6D231231"/>
    <w:rsid w:val="6D8C1CD4"/>
    <w:rsid w:val="6E3B6A4F"/>
    <w:rsid w:val="6E5B99BE"/>
    <w:rsid w:val="6ECC7154"/>
    <w:rsid w:val="6F972386"/>
    <w:rsid w:val="6FCEE72F"/>
    <w:rsid w:val="6FDE9212"/>
    <w:rsid w:val="6FFB1915"/>
    <w:rsid w:val="70567B70"/>
    <w:rsid w:val="709E44C0"/>
    <w:rsid w:val="719C27BA"/>
    <w:rsid w:val="72850298"/>
    <w:rsid w:val="72F7F3F5"/>
    <w:rsid w:val="73CC6DD2"/>
    <w:rsid w:val="74AD9C90"/>
    <w:rsid w:val="75BA87F2"/>
    <w:rsid w:val="77130569"/>
    <w:rsid w:val="7722255A"/>
    <w:rsid w:val="77C2BCD8"/>
    <w:rsid w:val="77DF0B2A"/>
    <w:rsid w:val="77EB41E9"/>
    <w:rsid w:val="77F84D21"/>
    <w:rsid w:val="795BFFE8"/>
    <w:rsid w:val="7A24354D"/>
    <w:rsid w:val="7A480F26"/>
    <w:rsid w:val="7A5F89B0"/>
    <w:rsid w:val="7A7333CC"/>
    <w:rsid w:val="7B203254"/>
    <w:rsid w:val="7B5758B2"/>
    <w:rsid w:val="7B660543"/>
    <w:rsid w:val="7BD6D013"/>
    <w:rsid w:val="7BFAD29E"/>
    <w:rsid w:val="7D46AE7D"/>
    <w:rsid w:val="7E8BCDA9"/>
    <w:rsid w:val="7EEB5DC1"/>
    <w:rsid w:val="7EF8C5D5"/>
    <w:rsid w:val="7F4F456A"/>
    <w:rsid w:val="7F55A7BA"/>
    <w:rsid w:val="7F65F9DE"/>
    <w:rsid w:val="7F76F9AB"/>
    <w:rsid w:val="7F7D486C"/>
    <w:rsid w:val="7FB708A3"/>
    <w:rsid w:val="7FBFE77C"/>
    <w:rsid w:val="7FC55347"/>
    <w:rsid w:val="7FCF10E6"/>
    <w:rsid w:val="7FFA6051"/>
    <w:rsid w:val="7FFD7256"/>
    <w:rsid w:val="89BD70A0"/>
    <w:rsid w:val="8FEFE11E"/>
    <w:rsid w:val="96FA0BF4"/>
    <w:rsid w:val="9CABDD86"/>
    <w:rsid w:val="9DF9F68A"/>
    <w:rsid w:val="9E7F11FF"/>
    <w:rsid w:val="9F6E8582"/>
    <w:rsid w:val="A3E7DCC8"/>
    <w:rsid w:val="A9FD3EC9"/>
    <w:rsid w:val="ABF98652"/>
    <w:rsid w:val="ABF9D1E9"/>
    <w:rsid w:val="ABFE74B9"/>
    <w:rsid w:val="AEF76102"/>
    <w:rsid w:val="B1FB65DA"/>
    <w:rsid w:val="B3B4D0EA"/>
    <w:rsid w:val="B73F31A5"/>
    <w:rsid w:val="B73F8AFC"/>
    <w:rsid w:val="B7FFD34B"/>
    <w:rsid w:val="BBFE676C"/>
    <w:rsid w:val="BFC9EE1B"/>
    <w:rsid w:val="BFEFCDAF"/>
    <w:rsid w:val="BFF7D305"/>
    <w:rsid w:val="BFFEE6EE"/>
    <w:rsid w:val="CFBE0632"/>
    <w:rsid w:val="CFEDCEC6"/>
    <w:rsid w:val="DC96CD3F"/>
    <w:rsid w:val="DCB7B2D6"/>
    <w:rsid w:val="DEF9A57C"/>
    <w:rsid w:val="DF526D16"/>
    <w:rsid w:val="EBBEC2CB"/>
    <w:rsid w:val="EBFF05A3"/>
    <w:rsid w:val="EC4C2662"/>
    <w:rsid w:val="ECFD1CC7"/>
    <w:rsid w:val="EFFEF762"/>
    <w:rsid w:val="EFFFEB2F"/>
    <w:rsid w:val="F19F32C4"/>
    <w:rsid w:val="F1E3D1BD"/>
    <w:rsid w:val="F377B182"/>
    <w:rsid w:val="F575FCD9"/>
    <w:rsid w:val="F5CE40D8"/>
    <w:rsid w:val="F5FF348B"/>
    <w:rsid w:val="F7FD0587"/>
    <w:rsid w:val="F7FF3346"/>
    <w:rsid w:val="F9DA0BB7"/>
    <w:rsid w:val="F9F50DDA"/>
    <w:rsid w:val="FCF6131E"/>
    <w:rsid w:val="FCFEF99C"/>
    <w:rsid w:val="FD729C39"/>
    <w:rsid w:val="FDABB3DE"/>
    <w:rsid w:val="FDDF23B6"/>
    <w:rsid w:val="FEEBE442"/>
    <w:rsid w:val="FFACE558"/>
    <w:rsid w:val="FFCD66A8"/>
    <w:rsid w:val="FFDC24C9"/>
    <w:rsid w:val="FFDED022"/>
    <w:rsid w:val="FFE66501"/>
    <w:rsid w:val="FFF78786"/>
    <w:rsid w:val="FFFF2814"/>
    <w:rsid w:val="FFFFA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16"/>
    <w:qFormat/>
    <w:uiPriority w:val="0"/>
    <w:pPr>
      <w:keepNext/>
      <w:adjustRightInd w:val="0"/>
      <w:snapToGrid w:val="0"/>
      <w:spacing w:line="288" w:lineRule="auto"/>
      <w:outlineLvl w:val="0"/>
    </w:pPr>
    <w:rPr>
      <w:b/>
      <w:color w:val="0000FF"/>
      <w:sz w:val="24"/>
      <w:szCs w:val="32"/>
    </w:rPr>
  </w:style>
  <w:style w:type="paragraph" w:styleId="3">
    <w:name w:val="heading 2"/>
    <w:basedOn w:val="1"/>
    <w:next w:val="1"/>
    <w:link w:val="15"/>
    <w:semiHidden/>
    <w:unhideWhenUsed/>
    <w:qFormat/>
    <w:uiPriority w:val="0"/>
    <w:pPr>
      <w:keepNext/>
      <w:keepLines/>
      <w:spacing w:before="50" w:beforeLines="50" w:line="288" w:lineRule="auto"/>
      <w:ind w:firstLine="456"/>
      <w:outlineLvl w:val="1"/>
    </w:pPr>
    <w:rPr>
      <w:b/>
      <w:bCs/>
      <w:color w:val="0000FF"/>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Date"/>
    <w:basedOn w:val="1"/>
    <w:next w:val="1"/>
    <w:link w:val="2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标题 2 字符"/>
    <w:basedOn w:val="12"/>
    <w:link w:val="3"/>
    <w:qFormat/>
    <w:uiPriority w:val="0"/>
    <w:rPr>
      <w:rFonts w:eastAsia="楷体_GB2312" w:asciiTheme="majorHAnsi" w:hAnsiTheme="majorHAnsi" w:cstheme="majorBidi"/>
      <w:b/>
      <w:bCs/>
      <w:color w:val="0000FF"/>
      <w:kern w:val="2"/>
      <w:sz w:val="32"/>
      <w:szCs w:val="32"/>
    </w:rPr>
  </w:style>
  <w:style w:type="character" w:customStyle="1" w:styleId="16">
    <w:name w:val="标题 1 字符"/>
    <w:link w:val="2"/>
    <w:qFormat/>
    <w:uiPriority w:val="9"/>
    <w:rPr>
      <w:rFonts w:ascii="宋体" w:hAnsi="宋体" w:eastAsia="黑体" w:cs="宋体"/>
      <w:b/>
      <w:bCs/>
      <w:color w:val="000000"/>
      <w:kern w:val="36"/>
      <w:sz w:val="32"/>
      <w:szCs w:val="32"/>
    </w:rPr>
  </w:style>
  <w:style w:type="character" w:customStyle="1" w:styleId="17">
    <w:name w:val="批注文字 字符"/>
    <w:basedOn w:val="12"/>
    <w:link w:val="4"/>
    <w:qFormat/>
    <w:uiPriority w:val="0"/>
    <w:rPr>
      <w:rFonts w:ascii="Times New Roman" w:hAnsi="Times New Roman" w:eastAsia="宋体" w:cs="Times New Roman"/>
      <w:kern w:val="2"/>
      <w:sz w:val="32"/>
      <w:szCs w:val="24"/>
    </w:rPr>
  </w:style>
  <w:style w:type="character" w:customStyle="1" w:styleId="18">
    <w:name w:val="批注主题 字符"/>
    <w:basedOn w:val="17"/>
    <w:link w:val="9"/>
    <w:qFormat/>
    <w:uiPriority w:val="0"/>
    <w:rPr>
      <w:rFonts w:ascii="Times New Roman" w:hAnsi="Times New Roman" w:eastAsia="宋体" w:cs="Times New Roman"/>
      <w:b/>
      <w:bCs/>
      <w:kern w:val="2"/>
      <w:sz w:val="32"/>
      <w:szCs w:val="24"/>
    </w:rPr>
  </w:style>
  <w:style w:type="paragraph" w:customStyle="1" w:styleId="19">
    <w:name w:val="修订1"/>
    <w:hidden/>
    <w:semiHidden/>
    <w:qFormat/>
    <w:uiPriority w:val="99"/>
    <w:rPr>
      <w:rFonts w:ascii="Times New Roman" w:hAnsi="Times New Roman" w:eastAsia="宋体" w:cs="Times New Roman"/>
      <w:kern w:val="2"/>
      <w:sz w:val="32"/>
      <w:szCs w:val="24"/>
      <w:lang w:val="en-US" w:eastAsia="zh-CN" w:bidi="ar-SA"/>
    </w:rPr>
  </w:style>
  <w:style w:type="character" w:customStyle="1" w:styleId="20">
    <w:name w:val="批注框文本 字符"/>
    <w:basedOn w:val="12"/>
    <w:link w:val="6"/>
    <w:qFormat/>
    <w:uiPriority w:val="0"/>
    <w:rPr>
      <w:rFonts w:ascii="Times New Roman" w:hAnsi="Times New Roman" w:eastAsia="宋体" w:cs="Times New Roman"/>
      <w:kern w:val="2"/>
      <w:sz w:val="18"/>
      <w:szCs w:val="18"/>
    </w:rPr>
  </w:style>
  <w:style w:type="character" w:customStyle="1" w:styleId="21">
    <w:name w:val="日期 字符"/>
    <w:basedOn w:val="12"/>
    <w:link w:val="5"/>
    <w:qFormat/>
    <w:uiPriority w:val="0"/>
    <w:rPr>
      <w:rFonts w:ascii="Times New Roman" w:hAnsi="Times New Roman" w:eastAsia="宋体" w:cs="Times New Roman"/>
      <w:kern w:val="2"/>
      <w:sz w:val="32"/>
      <w:szCs w:val="24"/>
    </w:rPr>
  </w:style>
  <w:style w:type="character" w:customStyle="1" w:styleId="22">
    <w:name w:val="font31"/>
    <w:basedOn w:val="12"/>
    <w:qFormat/>
    <w:uiPriority w:val="0"/>
    <w:rPr>
      <w:rFonts w:ascii="方正书宋_GBK" w:hAnsi="方正书宋_GBK" w:eastAsia="方正书宋_GBK" w:cs="方正书宋_GBK"/>
      <w:color w:val="000000"/>
      <w:sz w:val="20"/>
      <w:szCs w:val="20"/>
      <w:u w:val="none"/>
    </w:rPr>
  </w:style>
  <w:style w:type="character" w:customStyle="1" w:styleId="23">
    <w:name w:val="font11"/>
    <w:basedOn w:val="12"/>
    <w:qFormat/>
    <w:uiPriority w:val="0"/>
    <w:rPr>
      <w:rFonts w:hint="eastAsia" w:ascii="黑体" w:hAnsi="宋体" w:eastAsia="黑体" w:cs="黑体"/>
      <w:color w:val="000000"/>
      <w:sz w:val="20"/>
      <w:szCs w:val="20"/>
      <w:u w:val="none"/>
    </w:rPr>
  </w:style>
  <w:style w:type="character" w:customStyle="1" w:styleId="24">
    <w:name w:val="font4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2741-9DCA-4806-91E0-F981A9F1C46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2312</Words>
  <Characters>13180</Characters>
  <Lines>109</Lines>
  <Paragraphs>30</Paragraphs>
  <TotalTime>192</TotalTime>
  <ScaleCrop>false</ScaleCrop>
  <LinksUpToDate>false</LinksUpToDate>
  <CharactersWithSpaces>15462</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2026-06-24T03:32:00Z</dcterms:created>
  <dc:creator>admin</dc:creator>
  <cp:lastModifiedBy>Administrator</cp:lastModifiedBy>
  <cp:lastPrinted>2026-07-01T02:38:00Z</cp:lastPrinted>
  <dcterms:modified xsi:type="dcterms:W3CDTF">2026-07-06T03:33:52Z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8E2D4EF94A524D50B761457601A3FAF6</vt:lpwstr>
  </property>
  <property fmtid="{D5CDD505-2E9C-101B-9397-08002B2CF9AE}" pid="4" name="KSOTemplateDocerSaveRecord">
    <vt:lpwstr>eyJoZGlkIjoiYmQ2NDg0MzFmOTY4YTAwYTA3OGE0MDdjMmJmYzU2M2EiLCJ1c2VySWQiOiIyOTg3MzY5MzAifQ==</vt:lpwstr>
  </property>
</Properties>
</file>