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FC561">
      <w:pPr>
        <w:adjustRightInd w:val="0"/>
        <w:snapToGrid w:val="0"/>
        <w:spacing w:line="500" w:lineRule="exact"/>
        <w:jc w:val="left"/>
        <w:rPr>
          <w:rFonts w:ascii="Times New Roman" w:hAnsi="Times New Roman" w:eastAsia="黑体" w:cs="Times New Roman"/>
          <w:bCs/>
          <w:color w:val="000000"/>
          <w:kern w:val="0"/>
          <w:sz w:val="32"/>
          <w:szCs w:val="32"/>
        </w:rPr>
      </w:pPr>
      <w:r>
        <w:rPr>
          <w:rFonts w:hint="default" w:ascii="Times New Roman" w:hAnsi="Times New Roman" w:eastAsia="黑体" w:cs="Times New Roman"/>
          <w:bCs/>
          <w:color w:val="000000"/>
          <w:kern w:val="0"/>
          <w:sz w:val="32"/>
          <w:szCs w:val="32"/>
        </w:rPr>
        <w:t>附件1</w:t>
      </w:r>
    </w:p>
    <w:p w14:paraId="5991508C">
      <w:pPr>
        <w:tabs>
          <w:tab w:val="left" w:pos="4500"/>
        </w:tabs>
        <w:autoSpaceDE w:val="0"/>
        <w:autoSpaceDN w:val="0"/>
        <w:spacing w:beforeLines="150" w:line="520" w:lineRule="exact"/>
        <w:jc w:val="center"/>
        <w:rPr>
          <w:rFonts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技术先进型服务业务认定范围（试行）</w:t>
      </w:r>
    </w:p>
    <w:p w14:paraId="09CC08D3">
      <w:pPr>
        <w:tabs>
          <w:tab w:val="left" w:pos="4500"/>
        </w:tabs>
        <w:autoSpaceDE w:val="0"/>
        <w:autoSpaceDN w:val="0"/>
        <w:spacing w:line="520" w:lineRule="exact"/>
        <w:rPr>
          <w:rFonts w:ascii="Times New Roman" w:hAnsi="Times New Roman" w:eastAsia="仿宋" w:cs="Times New Roman"/>
          <w:color w:val="000000"/>
          <w:sz w:val="30"/>
          <w:szCs w:val="30"/>
        </w:rPr>
      </w:pPr>
    </w:p>
    <w:p w14:paraId="00E1AC82">
      <w:pPr>
        <w:tabs>
          <w:tab w:val="left" w:pos="4500"/>
        </w:tabs>
        <w:autoSpaceDN w:val="0"/>
        <w:spacing w:line="520" w:lineRule="exact"/>
        <w:ind w:firstLine="640" w:firstLineChars="200"/>
        <w:rPr>
          <w:rFonts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一、信息技术外包服务（</w:t>
      </w:r>
      <w:r>
        <w:rPr>
          <w:rFonts w:ascii="Times New Roman" w:hAnsi="Times New Roman" w:eastAsia="黑体" w:cs="Times New Roman"/>
          <w:color w:val="000000"/>
          <w:sz w:val="32"/>
          <w:szCs w:val="32"/>
        </w:rPr>
        <w:t>ITO</w:t>
      </w:r>
      <w:r>
        <w:rPr>
          <w:rFonts w:hint="default" w:ascii="Times New Roman" w:hAnsi="Times New Roman" w:eastAsia="黑体" w:cs="Times New Roman"/>
          <w:color w:val="000000"/>
          <w:sz w:val="32"/>
          <w:szCs w:val="32"/>
        </w:rPr>
        <w:t>）</w:t>
      </w:r>
    </w:p>
    <w:p w14:paraId="71D9A57D">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（一）软件研发及外包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684"/>
      </w:tblGrid>
      <w:tr w14:paraId="4CDD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noWrap w:val="0"/>
            <w:tcMar>
              <w:top w:w="113" w:type="dxa"/>
              <w:bottom w:w="113" w:type="dxa"/>
            </w:tcMar>
            <w:vAlign w:val="center"/>
          </w:tcPr>
          <w:p w14:paraId="4E479809">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684" w:type="dxa"/>
            <w:noWrap w:val="0"/>
            <w:tcMar>
              <w:top w:w="113" w:type="dxa"/>
              <w:bottom w:w="113" w:type="dxa"/>
            </w:tcMar>
            <w:vAlign w:val="center"/>
          </w:tcPr>
          <w:p w14:paraId="6FEB73CA">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3AFC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2376" w:type="dxa"/>
            <w:noWrap w:val="0"/>
            <w:tcMar>
              <w:top w:w="113" w:type="dxa"/>
              <w:bottom w:w="113" w:type="dxa"/>
            </w:tcMar>
            <w:vAlign w:val="center"/>
          </w:tcPr>
          <w:p w14:paraId="5BF47FE3">
            <w:pPr>
              <w:tabs>
                <w:tab w:val="left" w:pos="4500"/>
              </w:tabs>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软件研发及开发服务</w:t>
            </w:r>
          </w:p>
        </w:tc>
        <w:tc>
          <w:tcPr>
            <w:tcW w:w="6684" w:type="dxa"/>
            <w:noWrap w:val="0"/>
            <w:tcMar>
              <w:top w:w="113" w:type="dxa"/>
              <w:bottom w:w="113" w:type="dxa"/>
            </w:tcMar>
            <w:vAlign w:val="center"/>
          </w:tcPr>
          <w:p w14:paraId="02C6AE5E">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14:paraId="2BA5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noWrap w:val="0"/>
            <w:tcMar>
              <w:top w:w="113" w:type="dxa"/>
              <w:bottom w:w="113" w:type="dxa"/>
            </w:tcMar>
            <w:vAlign w:val="center"/>
          </w:tcPr>
          <w:p w14:paraId="676F6B83">
            <w:pPr>
              <w:tabs>
                <w:tab w:val="left" w:pos="4500"/>
              </w:tabs>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软件技术服务</w:t>
            </w:r>
          </w:p>
        </w:tc>
        <w:tc>
          <w:tcPr>
            <w:tcW w:w="6684" w:type="dxa"/>
            <w:noWrap w:val="0"/>
            <w:tcMar>
              <w:top w:w="113" w:type="dxa"/>
              <w:bottom w:w="113" w:type="dxa"/>
            </w:tcMar>
            <w:vAlign w:val="center"/>
          </w:tcPr>
          <w:p w14:paraId="1CF23B87">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软件咨询、维护、培训、测试等技术性服务。</w:t>
            </w:r>
          </w:p>
        </w:tc>
      </w:tr>
    </w:tbl>
    <w:p w14:paraId="54D5C10E">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（二）信息技术研发服务外包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6668"/>
      </w:tblGrid>
      <w:tr w14:paraId="1B35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noWrap w:val="0"/>
            <w:tcMar>
              <w:top w:w="113" w:type="dxa"/>
              <w:bottom w:w="113" w:type="dxa"/>
            </w:tcMar>
            <w:vAlign w:val="center"/>
          </w:tcPr>
          <w:p w14:paraId="67A6DDDF">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668" w:type="dxa"/>
            <w:noWrap w:val="0"/>
            <w:tcMar>
              <w:top w:w="113" w:type="dxa"/>
              <w:bottom w:w="113" w:type="dxa"/>
            </w:tcMar>
            <w:vAlign w:val="center"/>
          </w:tcPr>
          <w:p w14:paraId="7173F87A">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7F7A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noWrap w:val="0"/>
            <w:tcMar>
              <w:top w:w="113" w:type="dxa"/>
              <w:bottom w:w="113" w:type="dxa"/>
            </w:tcMar>
            <w:vAlign w:val="center"/>
          </w:tcPr>
          <w:p w14:paraId="2133A007">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集成电路和电子电路设计</w:t>
            </w:r>
          </w:p>
        </w:tc>
        <w:tc>
          <w:tcPr>
            <w:tcW w:w="6668" w:type="dxa"/>
            <w:noWrap w:val="0"/>
            <w:tcMar>
              <w:top w:w="113" w:type="dxa"/>
              <w:bottom w:w="113" w:type="dxa"/>
            </w:tcMar>
            <w:vAlign w:val="center"/>
          </w:tcPr>
          <w:p w14:paraId="503E9F4E">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集成电路和电子电路产品设计以及相关技术支持服务等。</w:t>
            </w:r>
          </w:p>
        </w:tc>
      </w:tr>
      <w:tr w14:paraId="2C58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noWrap w:val="0"/>
            <w:tcMar>
              <w:top w:w="113" w:type="dxa"/>
              <w:bottom w:w="113" w:type="dxa"/>
            </w:tcMar>
            <w:vAlign w:val="center"/>
          </w:tcPr>
          <w:p w14:paraId="6E70D354">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测试平台</w:t>
            </w:r>
          </w:p>
        </w:tc>
        <w:tc>
          <w:tcPr>
            <w:tcW w:w="6668" w:type="dxa"/>
            <w:noWrap w:val="0"/>
            <w:tcMar>
              <w:top w:w="113" w:type="dxa"/>
              <w:bottom w:w="113" w:type="dxa"/>
            </w:tcMar>
            <w:vAlign w:val="center"/>
          </w:tcPr>
          <w:p w14:paraId="0005A06F">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为软件、集成电路和电子电路的开发运用提供测试平台。</w:t>
            </w:r>
          </w:p>
        </w:tc>
      </w:tr>
    </w:tbl>
    <w:p w14:paraId="4784F668">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p>
    <w:p w14:paraId="11E75881">
      <w:pPr>
        <w:widowControl/>
        <w:jc w:val="left"/>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br w:type="page"/>
      </w:r>
    </w:p>
    <w:p w14:paraId="745ACA41">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（三）信息系统运营维护外包</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59"/>
      </w:tblGrid>
      <w:tr w14:paraId="48FF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2" w:type="dxa"/>
            <w:noWrap w:val="0"/>
            <w:tcMar>
              <w:top w:w="113" w:type="dxa"/>
              <w:bottom w:w="113" w:type="dxa"/>
            </w:tcMar>
            <w:vAlign w:val="center"/>
          </w:tcPr>
          <w:p w14:paraId="430D5576">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659" w:type="dxa"/>
            <w:noWrap w:val="0"/>
            <w:tcMar>
              <w:top w:w="113" w:type="dxa"/>
              <w:bottom w:w="113" w:type="dxa"/>
            </w:tcMar>
            <w:vAlign w:val="center"/>
          </w:tcPr>
          <w:p w14:paraId="1F84FCB2">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40A8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402" w:type="dxa"/>
            <w:noWrap w:val="0"/>
            <w:tcMar>
              <w:top w:w="113" w:type="dxa"/>
              <w:bottom w:w="113" w:type="dxa"/>
            </w:tcMar>
            <w:vAlign w:val="center"/>
          </w:tcPr>
          <w:p w14:paraId="111FBECE">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信息系统运营</w:t>
            </w:r>
          </w:p>
          <w:p w14:paraId="3ACA9109">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和维护服务</w:t>
            </w:r>
          </w:p>
        </w:tc>
        <w:tc>
          <w:tcPr>
            <w:tcW w:w="6659" w:type="dxa"/>
            <w:noWrap w:val="0"/>
            <w:tcMar>
              <w:top w:w="113" w:type="dxa"/>
              <w:bottom w:w="113" w:type="dxa"/>
            </w:tcMar>
            <w:vAlign w:val="center"/>
          </w:tcPr>
          <w:p w14:paraId="72379A26">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客户内部信息系统集成、网络管理、桌面管理与维护服务；信息工程、地理信息系统、远程维护等信息系统应用服务。</w:t>
            </w:r>
          </w:p>
        </w:tc>
      </w:tr>
      <w:tr w14:paraId="7FF8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402" w:type="dxa"/>
            <w:noWrap w:val="0"/>
            <w:tcMar>
              <w:top w:w="113" w:type="dxa"/>
              <w:bottom w:w="113" w:type="dxa"/>
            </w:tcMar>
            <w:vAlign w:val="center"/>
          </w:tcPr>
          <w:p w14:paraId="708DF15C">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基础信息技术</w:t>
            </w:r>
          </w:p>
          <w:p w14:paraId="368E61B1">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服务</w:t>
            </w:r>
          </w:p>
        </w:tc>
        <w:tc>
          <w:tcPr>
            <w:tcW w:w="6659" w:type="dxa"/>
            <w:noWrap w:val="0"/>
            <w:tcMar>
              <w:top w:w="113" w:type="dxa"/>
              <w:bottom w:w="113" w:type="dxa"/>
            </w:tcMar>
            <w:vAlign w:val="center"/>
          </w:tcPr>
          <w:p w14:paraId="2D73C21C">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基础信息技术管理平台整合、IT基础设施管理、数据中心、托管中心、安全服务、通讯服务等基础信息技术服务。</w:t>
            </w:r>
          </w:p>
        </w:tc>
      </w:tr>
    </w:tbl>
    <w:p w14:paraId="66348BD1">
      <w:pPr>
        <w:tabs>
          <w:tab w:val="left" w:pos="4500"/>
        </w:tabs>
        <w:autoSpaceDN w:val="0"/>
        <w:spacing w:beforeLines="50" w:afterLines="50" w:line="58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二、技术性业务流程外包服务（BPO）</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6654"/>
      </w:tblGrid>
      <w:tr w14:paraId="624E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407" w:type="dxa"/>
            <w:noWrap w:val="0"/>
            <w:tcMar>
              <w:top w:w="113" w:type="dxa"/>
              <w:bottom w:w="113" w:type="dxa"/>
            </w:tcMar>
            <w:vAlign w:val="center"/>
          </w:tcPr>
          <w:p w14:paraId="04F4417B">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654" w:type="dxa"/>
            <w:noWrap w:val="0"/>
            <w:tcMar>
              <w:top w:w="113" w:type="dxa"/>
              <w:bottom w:w="113" w:type="dxa"/>
            </w:tcMar>
            <w:vAlign w:val="center"/>
          </w:tcPr>
          <w:p w14:paraId="51C43777">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66A9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407" w:type="dxa"/>
            <w:noWrap w:val="0"/>
            <w:tcMar>
              <w:top w:w="113" w:type="dxa"/>
              <w:left w:w="57" w:type="dxa"/>
              <w:bottom w:w="113" w:type="dxa"/>
              <w:right w:w="57" w:type="dxa"/>
            </w:tcMar>
            <w:vAlign w:val="center"/>
          </w:tcPr>
          <w:p w14:paraId="61F3A8A1">
            <w:pPr>
              <w:autoSpaceDN w:val="0"/>
              <w:spacing w:line="400" w:lineRule="exact"/>
              <w:jc w:val="center"/>
              <w:rPr>
                <w:rFonts w:ascii="Times New Roman" w:hAnsi="Times New Roman" w:eastAsia="仿宋_GB2312" w:cs="Times New Roman"/>
                <w:color w:val="000000"/>
                <w:spacing w:val="-4"/>
                <w:sz w:val="24"/>
              </w:rPr>
            </w:pPr>
            <w:r>
              <w:rPr>
                <w:rFonts w:ascii="Times New Roman" w:hAnsi="Times New Roman" w:eastAsia="仿宋_GB2312" w:cs="Times New Roman"/>
                <w:color w:val="000000"/>
                <w:spacing w:val="-4"/>
                <w:sz w:val="24"/>
              </w:rPr>
              <w:t>企业业务流程</w:t>
            </w:r>
          </w:p>
          <w:p w14:paraId="1648CC97">
            <w:pPr>
              <w:autoSpaceDN w:val="0"/>
              <w:spacing w:line="400" w:lineRule="exact"/>
              <w:jc w:val="center"/>
              <w:rPr>
                <w:rFonts w:ascii="Times New Roman" w:hAnsi="Times New Roman" w:eastAsia="仿宋_GB2312" w:cs="Times New Roman"/>
                <w:color w:val="000000"/>
                <w:spacing w:val="-4"/>
                <w:sz w:val="24"/>
              </w:rPr>
            </w:pPr>
            <w:r>
              <w:rPr>
                <w:rFonts w:ascii="Times New Roman" w:hAnsi="Times New Roman" w:eastAsia="仿宋_GB2312" w:cs="Times New Roman"/>
                <w:color w:val="000000"/>
                <w:spacing w:val="-4"/>
                <w:sz w:val="24"/>
              </w:rPr>
              <w:t>设计服务</w:t>
            </w:r>
          </w:p>
        </w:tc>
        <w:tc>
          <w:tcPr>
            <w:tcW w:w="6654" w:type="dxa"/>
            <w:noWrap w:val="0"/>
            <w:tcMar>
              <w:top w:w="113" w:type="dxa"/>
              <w:bottom w:w="113" w:type="dxa"/>
            </w:tcMar>
            <w:vAlign w:val="center"/>
          </w:tcPr>
          <w:p w14:paraId="3C0DF082">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为客户企业提供内部管理、业务运作等流程设计服务。</w:t>
            </w:r>
          </w:p>
        </w:tc>
      </w:tr>
      <w:tr w14:paraId="3631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07" w:type="dxa"/>
            <w:noWrap w:val="0"/>
            <w:tcMar>
              <w:top w:w="113" w:type="dxa"/>
              <w:bottom w:w="113" w:type="dxa"/>
            </w:tcMar>
            <w:vAlign w:val="center"/>
          </w:tcPr>
          <w:p w14:paraId="79D03404">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企业内部管理</w:t>
            </w:r>
          </w:p>
          <w:p w14:paraId="1E79D1E2">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服务</w:t>
            </w:r>
          </w:p>
        </w:tc>
        <w:tc>
          <w:tcPr>
            <w:tcW w:w="6654" w:type="dxa"/>
            <w:noWrap w:val="0"/>
            <w:tcMar>
              <w:top w:w="113" w:type="dxa"/>
              <w:bottom w:w="113" w:type="dxa"/>
            </w:tcMar>
            <w:vAlign w:val="center"/>
          </w:tcPr>
          <w:p w14:paraId="065AA577">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为客户企业提供后台管理、人力资源管理、财务、审计与税务管理、金融支付服务、医疗数据及其他内部管理业务的数据分析、数据挖掘、数据管理、数据使用的服务；承接客户专业数据处理、分析和整合服务。</w:t>
            </w:r>
          </w:p>
        </w:tc>
      </w:tr>
      <w:tr w14:paraId="388E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2407" w:type="dxa"/>
            <w:noWrap w:val="0"/>
            <w:tcMar>
              <w:top w:w="113" w:type="dxa"/>
              <w:bottom w:w="113" w:type="dxa"/>
            </w:tcMar>
            <w:vAlign w:val="center"/>
          </w:tcPr>
          <w:p w14:paraId="49E019FE">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企业运营服务</w:t>
            </w:r>
          </w:p>
        </w:tc>
        <w:tc>
          <w:tcPr>
            <w:tcW w:w="6654" w:type="dxa"/>
            <w:noWrap w:val="0"/>
            <w:tcMar>
              <w:top w:w="113" w:type="dxa"/>
              <w:bottom w:w="113" w:type="dxa"/>
            </w:tcMar>
            <w:vAlign w:val="center"/>
          </w:tcPr>
          <w:p w14:paraId="1F34247D">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14:paraId="6815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7" w:type="dxa"/>
            <w:noWrap w:val="0"/>
            <w:tcMar>
              <w:top w:w="113" w:type="dxa"/>
              <w:bottom w:w="113" w:type="dxa"/>
            </w:tcMar>
            <w:vAlign w:val="center"/>
          </w:tcPr>
          <w:p w14:paraId="5A665F44">
            <w:pPr>
              <w:autoSpaceDN w:val="0"/>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企业供应链管理服务</w:t>
            </w:r>
          </w:p>
        </w:tc>
        <w:tc>
          <w:tcPr>
            <w:tcW w:w="6654" w:type="dxa"/>
            <w:noWrap w:val="0"/>
            <w:tcMar>
              <w:top w:w="113" w:type="dxa"/>
              <w:bottom w:w="113" w:type="dxa"/>
            </w:tcMar>
            <w:vAlign w:val="center"/>
          </w:tcPr>
          <w:p w14:paraId="5AAF48C7">
            <w:pPr>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为客户企业提供采购、物流的整体方案设计及数据库服务。</w:t>
            </w:r>
          </w:p>
        </w:tc>
      </w:tr>
    </w:tbl>
    <w:p w14:paraId="652C7D54">
      <w:pPr>
        <w:tabs>
          <w:tab w:val="left" w:pos="4500"/>
        </w:tabs>
        <w:autoSpaceDN w:val="0"/>
        <w:spacing w:line="240" w:lineRule="exact"/>
        <w:ind w:firstLine="480" w:firstLineChars="200"/>
        <w:rPr>
          <w:rFonts w:ascii="Times New Roman" w:hAnsi="Times New Roman" w:eastAsia="仿宋_GB2312" w:cs="Times New Roman"/>
          <w:color w:val="000000"/>
          <w:sz w:val="24"/>
        </w:rPr>
      </w:pPr>
    </w:p>
    <w:p w14:paraId="230E9FD4">
      <w:pPr>
        <w:widowControl/>
        <w:jc w:val="lef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br w:type="page"/>
      </w:r>
    </w:p>
    <w:p w14:paraId="111BD0E0">
      <w:pPr>
        <w:tabs>
          <w:tab w:val="left" w:pos="4500"/>
        </w:tabs>
        <w:autoSpaceDN w:val="0"/>
        <w:spacing w:beforeLines="50" w:afterLines="50" w:line="58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三、技术性知识流程外包服务（KPO）</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295B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1" w:type="dxa"/>
            <w:noWrap w:val="0"/>
            <w:tcMar>
              <w:top w:w="113" w:type="dxa"/>
              <w:bottom w:w="113" w:type="dxa"/>
            </w:tcMar>
            <w:vAlign w:val="center"/>
          </w:tcPr>
          <w:p w14:paraId="133A95A9">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56C4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9061" w:type="dxa"/>
            <w:noWrap w:val="0"/>
            <w:tcMar>
              <w:top w:w="113" w:type="dxa"/>
              <w:bottom w:w="113" w:type="dxa"/>
            </w:tcMar>
            <w:vAlign w:val="center"/>
          </w:tcPr>
          <w:p w14:paraId="40A51991">
            <w:pPr>
              <w:tabs>
                <w:tab w:val="left" w:pos="4500"/>
              </w:tabs>
              <w:autoSpaceDN w:val="0"/>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知识产权研究、医药和生物技术研发和测试、产品技术研发、工业设计、分析学和数据挖掘、动漫及网游设计研发、教育课件研发、工程设计等领域。</w:t>
            </w:r>
          </w:p>
        </w:tc>
      </w:tr>
    </w:tbl>
    <w:p w14:paraId="5E15E91A">
      <w:pPr>
        <w:tabs>
          <w:tab w:val="left" w:pos="4500"/>
        </w:tabs>
        <w:autoSpaceDN w:val="0"/>
        <w:spacing w:beforeLines="50" w:afterLines="50" w:line="58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四、服务贸易类</w:t>
      </w:r>
    </w:p>
    <w:p w14:paraId="5199D6D7">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（一）计算机和信息服务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14:paraId="084CA43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40AB8A4F">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2FF06BBA">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717BF95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936"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3EF7404A">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信息系统集成服务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3D5597CD">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系统集成咨询服务；系统集成工程服务；提供硬件设备现场组装、软件安装与调试及相关运营维护支撑服务；系统运营维护服务，包括系统运行检测监控、故障定位与排除、性能管理、优化升级等。</w:t>
            </w:r>
          </w:p>
        </w:tc>
      </w:tr>
      <w:tr w14:paraId="03CD210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54"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7A8470CA">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数据服务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1C435886">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数据存储管理服务，提供数据规划、评估、审计、咨询、清洗、整理、应用服务，数据增值服务，提供其他未分类数据处理服务。</w:t>
            </w:r>
          </w:p>
        </w:tc>
      </w:tr>
    </w:tbl>
    <w:p w14:paraId="2D2AE4F1">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（二）研究开发和技术服务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14:paraId="6902B3A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tblHeader/>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417626AD">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891AFA6">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3151B20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5E4973D7">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研究和实验开发服务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2B1F34F8">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物理学、化学、生物学、基因学、工程学、医学、农业科学、环境科学、人类地理科学、经济学和人文科学等领域的研究和实验开发服务。</w:t>
            </w:r>
          </w:p>
        </w:tc>
      </w:tr>
      <w:tr w14:paraId="4C9E90D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7CD2596E">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工业设计服务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5D7BD7FA">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对产品的材料、结构、机理、形状、颜色和表面处理的设计与选择；对产品进行的综合设计服务，即产品外观的设计、机械结构和电路设计等服务。</w:t>
            </w:r>
          </w:p>
        </w:tc>
      </w:tr>
      <w:tr w14:paraId="4398AAF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874"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49372BBA">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知识产权跨境许可</w:t>
            </w:r>
          </w:p>
          <w:p w14:paraId="27B3F3CE">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与转让</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3CC8DBAE">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以专利、版权、商标等为载体的技术贸易。知识产权跨境许可是指授权境外机构有偿使用专利、版权和商标等；知识产权跨境转让是指将专利、版权和商标等知识产权售卖给境外机构。</w:t>
            </w:r>
          </w:p>
        </w:tc>
      </w:tr>
    </w:tbl>
    <w:p w14:paraId="69F33AEF">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（三）文化技术服务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14:paraId="0ABD567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C66F2EC">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0CC25D7">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59786C5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747"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3C3C1342">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文化产品数字制作</w:t>
            </w:r>
          </w:p>
          <w:p w14:paraId="59766BD9">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及相关服务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515FE3AA">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采用数字技术对舞台剧目、音乐、美术、文物、非物质文化遗产、文献资源等文化内容以及各种出版物进行数字化转化和开发，为各种显示终端提供内容，以及采用数字技术传播、经营文化产品等相关服务。</w:t>
            </w:r>
          </w:p>
        </w:tc>
      </w:tr>
      <w:tr w14:paraId="73D6FAB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45"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0F82F261">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文化产品的对外翻译、</w:t>
            </w:r>
          </w:p>
          <w:p w14:paraId="5A4CBBBB">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配音及制作服务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750B8326">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将本国文化产品翻译或配音成其他国家语言，将其他国家文化产品翻译或配音成本国语言以及与其相关的制作服务。</w:t>
            </w:r>
          </w:p>
        </w:tc>
      </w:tr>
    </w:tbl>
    <w:p w14:paraId="3D420220">
      <w:pPr>
        <w:tabs>
          <w:tab w:val="left" w:pos="4500"/>
        </w:tabs>
        <w:autoSpaceDN w:val="0"/>
        <w:spacing w:beforeLines="50" w:afterLines="50" w:line="520" w:lineRule="exact"/>
        <w:ind w:firstLine="560" w:firstLineChars="20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（四</w:t>
      </w:r>
      <w:r>
        <w:rPr>
          <w:rFonts w:hint="default" w:ascii="Times New Roman" w:hAnsi="Times New Roman" w:eastAsia="黑体" w:cs="Times New Roman"/>
          <w:color w:val="000000"/>
          <w:sz w:val="28"/>
          <w:szCs w:val="28"/>
        </w:rPr>
        <w:t>）</w:t>
      </w:r>
      <w:r>
        <w:rPr>
          <w:rFonts w:ascii="Times New Roman" w:hAnsi="Times New Roman" w:eastAsia="黑体" w:cs="Times New Roman"/>
          <w:color w:val="000000"/>
          <w:sz w:val="28"/>
          <w:szCs w:val="28"/>
        </w:rPr>
        <w:t>中医药医疗服务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14:paraId="5EB0349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1F1E7D66">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618C1299">
            <w:pPr>
              <w:tabs>
                <w:tab w:val="left" w:pos="4500"/>
              </w:tabs>
              <w:autoSpaceDN w:val="0"/>
              <w:spacing w:line="400" w:lineRule="exact"/>
              <w:jc w:val="center"/>
              <w:rPr>
                <w:rFonts w:ascii="Times New Roman" w:hAnsi="Times New Roman" w:eastAsia="黑体" w:cs="Times New Roman"/>
                <w:color w:val="000000"/>
                <w:sz w:val="24"/>
              </w:rPr>
            </w:pPr>
            <w:r>
              <w:rPr>
                <w:rFonts w:ascii="Times New Roman" w:hAnsi="Times New Roman" w:eastAsia="黑体" w:cs="Times New Roman"/>
                <w:color w:val="000000"/>
                <w:sz w:val="24"/>
              </w:rPr>
              <w:t>适用范围</w:t>
            </w:r>
          </w:p>
        </w:tc>
      </w:tr>
      <w:tr w14:paraId="0120ECD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058" w:hRule="atLeast"/>
          <w:jc w:val="center"/>
        </w:trPr>
        <w:tc>
          <w:tcPr>
            <w:tcW w:w="3024" w:type="dxa"/>
            <w:tcBorders>
              <w:top w:val="outset" w:color="000000" w:sz="6" w:space="0"/>
              <w:left w:val="outset" w:color="000000" w:sz="6" w:space="0"/>
              <w:bottom w:val="outset" w:color="000000" w:sz="6" w:space="0"/>
              <w:right w:val="outset" w:color="000000" w:sz="6" w:space="0"/>
            </w:tcBorders>
            <w:noWrap w:val="0"/>
            <w:vAlign w:val="center"/>
          </w:tcPr>
          <w:p w14:paraId="5CE0C347">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中医药医疗保健及</w:t>
            </w:r>
          </w:p>
          <w:p w14:paraId="5450C1F5">
            <w:pPr>
              <w:widowControl/>
              <w:spacing w:line="400" w:lineRule="exact"/>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相关服务</w:t>
            </w:r>
          </w:p>
        </w:tc>
        <w:tc>
          <w:tcPr>
            <w:tcW w:w="6035" w:type="dxa"/>
            <w:tcBorders>
              <w:top w:val="outset" w:color="000000" w:sz="6" w:space="0"/>
              <w:left w:val="outset" w:color="000000" w:sz="6" w:space="0"/>
              <w:bottom w:val="outset" w:color="000000" w:sz="6" w:space="0"/>
              <w:right w:val="outset" w:color="000000" w:sz="6" w:space="0"/>
            </w:tcBorders>
            <w:noWrap w:val="0"/>
            <w:vAlign w:val="center"/>
          </w:tcPr>
          <w:p w14:paraId="63E1A439">
            <w:pPr>
              <w:widowControl/>
              <w:spacing w:line="400" w:lineRule="exact"/>
              <w:rPr>
                <w:rFonts w:ascii="Times New Roman" w:hAnsi="Times New Roman" w:eastAsia="仿宋_GB2312" w:cs="Times New Roman"/>
                <w:color w:val="000000"/>
                <w:sz w:val="24"/>
              </w:rPr>
            </w:pPr>
            <w:r>
              <w:rPr>
                <w:rFonts w:ascii="Times New Roman" w:hAnsi="Times New Roman" w:eastAsia="仿宋_GB2312" w:cs="Times New Roman"/>
                <w:color w:val="000000"/>
                <w:sz w:val="24"/>
              </w:rPr>
              <w:t>与中医药相关的远程医疗保健、教育培训、文化交流等服务。</w:t>
            </w:r>
          </w:p>
        </w:tc>
      </w:tr>
    </w:tbl>
    <w:p w14:paraId="01F35618">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E69E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86554">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586554">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02457C"/>
    <w:rsid w:val="15624E21"/>
    <w:rsid w:val="3A024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2025-10-27T10:26:00Z</dcterms:created>
  <dc:creator>康晓慧</dc:creator>
  <cp:lastModifiedBy>康晓慧</cp:lastModifiedBy>
  <dcterms:modified xsi:type="dcterms:W3CDTF">2025-10-27T10:26:54Z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EC50BC3BA84748558737F6A2D15C9998_11</vt:lpwstr>
  </property>
  <property fmtid="{D5CDD505-2E9C-101B-9397-08002B2CF9AE}" pid="4" name="KSOTemplateDocerSaveRecord">
    <vt:lpwstr>eyJoZGlkIjoiYTZmNDZhYTFkZjczNWVjOWUxMTJkMjMxNjNiYzk1MTQiLCJ1c2VySWQiOiI0MzgxMTE3NDgifQ==</vt:lpwstr>
  </property>
</Properties>
</file>